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0C" w:rsidRDefault="00A5560C" w:rsidP="00264695">
      <w:pPr>
        <w:spacing w:after="0" w:line="240" w:lineRule="auto"/>
        <w:jc w:val="right"/>
        <w:rPr>
          <w:rFonts w:ascii="Times New Roman" w:hAnsi="Times New Roman" w:cs="Times New Roman"/>
          <w:b/>
          <w:sz w:val="24"/>
          <w:szCs w:val="24"/>
          <w:u w:val="single"/>
          <w:lang w:val="en-US"/>
        </w:rPr>
      </w:pPr>
    </w:p>
    <w:p w:rsidR="001806AD" w:rsidRPr="00A5560C" w:rsidRDefault="00264695" w:rsidP="00A5560C">
      <w:pPr>
        <w:spacing w:after="0" w:line="240" w:lineRule="auto"/>
        <w:jc w:val="center"/>
        <w:rPr>
          <w:rFonts w:ascii="Times New Roman" w:hAnsi="Times New Roman" w:cs="Times New Roman"/>
          <w:b/>
          <w:sz w:val="36"/>
          <w:szCs w:val="36"/>
          <w:u w:val="single"/>
          <w:lang w:val="en-US"/>
        </w:rPr>
      </w:pPr>
      <w:r w:rsidRPr="00A5560C">
        <w:rPr>
          <w:rFonts w:ascii="Times New Roman" w:hAnsi="Times New Roman" w:cs="Times New Roman"/>
          <w:b/>
          <w:sz w:val="36"/>
          <w:szCs w:val="36"/>
          <w:u w:val="single"/>
          <w:lang w:val="en-US"/>
        </w:rPr>
        <w:t>Urban Resilience Revolution: Unleashing Sustainable Solutions with MBGC and JWT Green Patent</w:t>
      </w:r>
    </w:p>
    <w:p w:rsidR="00264695" w:rsidRDefault="00264695" w:rsidP="001806AD">
      <w:pPr>
        <w:spacing w:after="0" w:line="240" w:lineRule="auto"/>
        <w:jc w:val="both"/>
        <w:rPr>
          <w:rFonts w:ascii="Times New Roman" w:hAnsi="Times New Roman" w:cs="Times New Roman"/>
          <w:b/>
          <w:sz w:val="24"/>
          <w:szCs w:val="24"/>
          <w:u w:val="single"/>
          <w:lang w:val="en-US"/>
        </w:rPr>
      </w:pPr>
    </w:p>
    <w:p w:rsidR="00264695" w:rsidRDefault="00264695" w:rsidP="001806AD">
      <w:pPr>
        <w:spacing w:after="0" w:line="240" w:lineRule="auto"/>
        <w:jc w:val="both"/>
        <w:rPr>
          <w:rFonts w:ascii="Times New Roman" w:hAnsi="Times New Roman" w:cs="Times New Roman"/>
          <w:b/>
          <w:sz w:val="72"/>
          <w:szCs w:val="72"/>
          <w:lang w:val="en-US"/>
        </w:rPr>
      </w:pPr>
    </w:p>
    <w:p w:rsidR="00A5560C" w:rsidRPr="00264695" w:rsidRDefault="00A5560C" w:rsidP="001806AD">
      <w:pPr>
        <w:spacing w:after="0" w:line="240" w:lineRule="auto"/>
        <w:jc w:val="both"/>
        <w:rPr>
          <w:rFonts w:ascii="Times New Roman" w:hAnsi="Times New Roman" w:cs="Times New Roman"/>
          <w:b/>
          <w:sz w:val="72"/>
          <w:szCs w:val="72"/>
          <w:lang w:val="en-US"/>
        </w:rPr>
      </w:pPr>
    </w:p>
    <w:p w:rsidR="00635369" w:rsidRDefault="00264695" w:rsidP="00635369">
      <w:pPr>
        <w:spacing w:after="0" w:line="240" w:lineRule="auto"/>
        <w:jc w:val="right"/>
        <w:rPr>
          <w:rFonts w:ascii="Times New Roman" w:hAnsi="Times New Roman" w:cs="Times New Roman"/>
          <w:b/>
          <w:lang w:val="en-US"/>
        </w:rPr>
      </w:pPr>
      <w:r w:rsidRPr="00635369">
        <w:rPr>
          <w:rFonts w:ascii="Times New Roman" w:hAnsi="Times New Roman" w:cs="Times New Roman"/>
          <w:b/>
          <w:lang w:val="en-US"/>
        </w:rPr>
        <w:t>SDG 11.1 what get by MBGC ?</w:t>
      </w:r>
      <w:r w:rsidR="00635369" w:rsidRPr="00635369">
        <w:rPr>
          <w:rFonts w:ascii="Times New Roman" w:hAnsi="Times New Roman" w:cs="Times New Roman"/>
          <w:b/>
          <w:lang w:val="en-US"/>
        </w:rPr>
        <w:t xml:space="preserve"> </w:t>
      </w:r>
      <w:r w:rsidRPr="00635369">
        <w:rPr>
          <w:rFonts w:ascii="Times New Roman" w:hAnsi="Times New Roman" w:cs="Times New Roman"/>
          <w:b/>
          <w:lang w:val="en-US"/>
        </w:rPr>
        <w:t>(Mini Bio Gas Continuous)</w:t>
      </w:r>
    </w:p>
    <w:p w:rsidR="00635369" w:rsidRPr="00635369" w:rsidRDefault="00635369" w:rsidP="00635369">
      <w:pPr>
        <w:spacing w:after="0" w:line="240" w:lineRule="auto"/>
        <w:jc w:val="right"/>
        <w:rPr>
          <w:rFonts w:ascii="Times New Roman" w:eastAsia="Times New Roman" w:hAnsi="Times New Roman" w:cs="Times New Roman"/>
          <w:b/>
          <w:sz w:val="32"/>
          <w:szCs w:val="32"/>
          <w:lang w:val="en-US" w:eastAsia="it-IT"/>
        </w:rPr>
      </w:pPr>
      <w:r w:rsidRPr="00635369">
        <w:rPr>
          <w:rFonts w:ascii="Times New Roman" w:eastAsia="Times New Roman" w:hAnsi="Times New Roman" w:cs="Times New Roman"/>
          <w:b/>
          <w:sz w:val="32"/>
          <w:szCs w:val="32"/>
          <w:lang w:val="en-US" w:eastAsia="it-IT"/>
        </w:rPr>
        <w:t xml:space="preserve">Digester - MBGC toward SDGs/UN 11.1 </w:t>
      </w:r>
    </w:p>
    <w:p w:rsidR="00635369" w:rsidRPr="00635369" w:rsidRDefault="00635369" w:rsidP="00635369">
      <w:pPr>
        <w:spacing w:after="0" w:line="240" w:lineRule="auto"/>
        <w:jc w:val="right"/>
        <w:rPr>
          <w:rFonts w:ascii="Times New Roman" w:eastAsia="Times New Roman" w:hAnsi="Times New Roman" w:cs="Times New Roman"/>
          <w:b/>
          <w:sz w:val="20"/>
          <w:szCs w:val="20"/>
          <w:lang w:val="en-US" w:eastAsia="it-IT"/>
        </w:rPr>
      </w:pPr>
      <w:r w:rsidRPr="00635369">
        <w:rPr>
          <w:rFonts w:ascii="Times New Roman" w:eastAsia="Times New Roman" w:hAnsi="Times New Roman" w:cs="Times New Roman"/>
          <w:b/>
          <w:sz w:val="20"/>
          <w:szCs w:val="20"/>
          <w:lang w:val="en-US" w:eastAsia="it-IT"/>
        </w:rPr>
        <w:t>(</w:t>
      </w:r>
      <w:r w:rsidRPr="00635369">
        <w:rPr>
          <w:sz w:val="20"/>
          <w:szCs w:val="20"/>
          <w:lang w:val="en-US"/>
        </w:rPr>
        <w:t>By 2030, ensure access for all to adequate, safe and affordable housing and basic services and upgrade slums</w:t>
      </w:r>
      <w:r w:rsidRPr="00635369">
        <w:rPr>
          <w:rFonts w:ascii="Times New Roman" w:eastAsia="Times New Roman" w:hAnsi="Times New Roman" w:cs="Times New Roman"/>
          <w:b/>
          <w:sz w:val="20"/>
          <w:szCs w:val="20"/>
          <w:lang w:val="en-US" w:eastAsia="it-IT"/>
        </w:rPr>
        <w:t>)</w:t>
      </w:r>
    </w:p>
    <w:p w:rsidR="00635369" w:rsidRPr="00264695" w:rsidRDefault="00635369" w:rsidP="00264695">
      <w:pPr>
        <w:spacing w:after="0" w:line="240" w:lineRule="auto"/>
        <w:jc w:val="right"/>
        <w:rPr>
          <w:rFonts w:ascii="Times New Roman" w:hAnsi="Times New Roman" w:cs="Times New Roman"/>
          <w:b/>
          <w:sz w:val="28"/>
          <w:szCs w:val="28"/>
          <w:lang w:val="en-US"/>
        </w:rPr>
      </w:pPr>
    </w:p>
    <w:p w:rsidR="00E536DE" w:rsidRDefault="00E536DE">
      <w:pPr>
        <w:rPr>
          <w:rFonts w:ascii="Times New Roman" w:hAnsi="Times New Roman" w:cs="Times New Roman"/>
          <w:sz w:val="24"/>
          <w:szCs w:val="24"/>
          <w:lang w:val="en-US"/>
        </w:rPr>
      </w:pPr>
      <w:r>
        <w:rPr>
          <w:rFonts w:ascii="Times New Roman" w:hAnsi="Times New Roman" w:cs="Times New Roman"/>
          <w:sz w:val="24"/>
          <w:szCs w:val="24"/>
          <w:lang w:val="en-US"/>
        </w:rPr>
        <w:br w:type="page"/>
      </w: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Pr="001806F5" w:rsidRDefault="00373823" w:rsidP="00E40853">
          <w:pPr>
            <w:pStyle w:val="Titolosommario"/>
            <w:jc w:val="both"/>
            <w:rPr>
              <w:rFonts w:cs="Times New Roman"/>
              <w:sz w:val="24"/>
              <w:szCs w:val="24"/>
            </w:rPr>
          </w:pPr>
          <w:r w:rsidRPr="001806F5">
            <w:rPr>
              <w:rFonts w:cs="Times New Roman"/>
            </w:rPr>
            <w:t>Su</w:t>
          </w:r>
          <w:r w:rsidR="00D86830" w:rsidRPr="001806F5">
            <w:rPr>
              <w:rFonts w:cs="Times New Roman"/>
            </w:rPr>
            <w:t>mmar</w:t>
          </w:r>
          <w:r w:rsidRPr="001806F5">
            <w:rPr>
              <w:rFonts w:cs="Times New Roman"/>
            </w:rPr>
            <w:t>y</w:t>
          </w:r>
        </w:p>
        <w:p w:rsidR="00373823" w:rsidRPr="001806F5" w:rsidRDefault="00373823" w:rsidP="00373823">
          <w:pPr>
            <w:rPr>
              <w:b/>
            </w:rPr>
          </w:pPr>
        </w:p>
        <w:p w:rsidR="00A5560C" w:rsidRDefault="00F40329">
          <w:pPr>
            <w:pStyle w:val="Sommario1"/>
            <w:rPr>
              <w:rFonts w:eastAsiaTheme="minorEastAsia"/>
              <w:b w:val="0"/>
              <w:lang w:val="it-IT" w:eastAsia="it-IT"/>
            </w:rPr>
          </w:pPr>
          <w:r w:rsidRPr="00F40329">
            <w:rPr>
              <w:rFonts w:ascii="Times New Roman" w:hAnsi="Times New Roman" w:cs="Times New Roman"/>
              <w:sz w:val="24"/>
              <w:szCs w:val="24"/>
            </w:rPr>
            <w:fldChar w:fldCharType="begin"/>
          </w:r>
          <w:r w:rsidR="00E94710" w:rsidRPr="001806F5">
            <w:rPr>
              <w:rFonts w:ascii="Times New Roman" w:hAnsi="Times New Roman" w:cs="Times New Roman"/>
              <w:sz w:val="24"/>
              <w:szCs w:val="24"/>
            </w:rPr>
            <w:instrText xml:space="preserve"> TOC \o "1-3" \h \z \u </w:instrText>
          </w:r>
          <w:r w:rsidRPr="00F40329">
            <w:rPr>
              <w:rFonts w:ascii="Times New Roman" w:hAnsi="Times New Roman" w:cs="Times New Roman"/>
              <w:sz w:val="24"/>
              <w:szCs w:val="24"/>
            </w:rPr>
            <w:fldChar w:fldCharType="separate"/>
          </w:r>
          <w:hyperlink w:anchor="_Toc150285329" w:history="1">
            <w:r w:rsidR="00A5560C" w:rsidRPr="00593DC6">
              <w:rPr>
                <w:rStyle w:val="Collegamentoipertestuale"/>
              </w:rPr>
              <w:t>Index 7</w:t>
            </w:r>
            <w:r w:rsidR="00A5560C">
              <w:rPr>
                <w:webHidden/>
              </w:rPr>
              <w:tab/>
            </w:r>
            <w:r w:rsidR="00A5560C">
              <w:rPr>
                <w:webHidden/>
              </w:rPr>
              <w:fldChar w:fldCharType="begin"/>
            </w:r>
            <w:r w:rsidR="00A5560C">
              <w:rPr>
                <w:webHidden/>
              </w:rPr>
              <w:instrText xml:space="preserve"> PAGEREF _Toc150285329 \h </w:instrText>
            </w:r>
            <w:r w:rsidR="00A5560C">
              <w:rPr>
                <w:webHidden/>
              </w:rPr>
            </w:r>
            <w:r w:rsidR="00A5560C">
              <w:rPr>
                <w:webHidden/>
              </w:rPr>
              <w:fldChar w:fldCharType="separate"/>
            </w:r>
            <w:r w:rsidR="00A5560C">
              <w:rPr>
                <w:webHidden/>
              </w:rPr>
              <w:t>6</w:t>
            </w:r>
            <w:r w:rsidR="00A5560C">
              <w:rPr>
                <w:webHidden/>
              </w:rPr>
              <w:fldChar w:fldCharType="end"/>
            </w:r>
          </w:hyperlink>
        </w:p>
        <w:p w:rsidR="00A5560C" w:rsidRDefault="00A5560C">
          <w:pPr>
            <w:pStyle w:val="Sommario1"/>
            <w:rPr>
              <w:rFonts w:eastAsiaTheme="minorEastAsia"/>
              <w:b w:val="0"/>
              <w:lang w:val="it-IT" w:eastAsia="it-IT"/>
            </w:rPr>
          </w:pPr>
          <w:hyperlink w:anchor="_Toc150285330" w:history="1">
            <w:r w:rsidRPr="00593DC6">
              <w:rPr>
                <w:rStyle w:val="Collegamentoipertestuale"/>
              </w:rPr>
              <w:t>Title: "Urban Resilience Revolution: Unleashing Sustainable Solutions with MBGC and JWT Green Patent"</w:t>
            </w:r>
            <w:r>
              <w:rPr>
                <w:webHidden/>
              </w:rPr>
              <w:tab/>
            </w:r>
            <w:r>
              <w:rPr>
                <w:webHidden/>
              </w:rPr>
              <w:fldChar w:fldCharType="begin"/>
            </w:r>
            <w:r>
              <w:rPr>
                <w:webHidden/>
              </w:rPr>
              <w:instrText xml:space="preserve"> PAGEREF _Toc150285330 \h </w:instrText>
            </w:r>
            <w:r>
              <w:rPr>
                <w:webHidden/>
              </w:rPr>
            </w:r>
            <w:r>
              <w:rPr>
                <w:webHidden/>
              </w:rPr>
              <w:fldChar w:fldCharType="separate"/>
            </w:r>
            <w:r>
              <w:rPr>
                <w:webHidden/>
              </w:rPr>
              <w:t>8</w:t>
            </w:r>
            <w:r>
              <w:rPr>
                <w:webHidden/>
              </w:rPr>
              <w:fldChar w:fldCharType="end"/>
            </w:r>
          </w:hyperlink>
        </w:p>
        <w:p w:rsidR="00A5560C" w:rsidRDefault="00A5560C">
          <w:pPr>
            <w:pStyle w:val="Sommario1"/>
            <w:rPr>
              <w:rFonts w:eastAsiaTheme="minorEastAsia"/>
              <w:b w:val="0"/>
              <w:lang w:val="it-IT" w:eastAsia="it-IT"/>
            </w:rPr>
          </w:pPr>
          <w:hyperlink w:anchor="_Toc150285331" w:history="1">
            <w:r w:rsidRPr="00593DC6">
              <w:rPr>
                <w:rStyle w:val="Collegamentoipertestuale"/>
              </w:rPr>
              <w:t>Introduction</w:t>
            </w:r>
            <w:r>
              <w:rPr>
                <w:webHidden/>
              </w:rPr>
              <w:tab/>
            </w:r>
            <w:r>
              <w:rPr>
                <w:webHidden/>
              </w:rPr>
              <w:fldChar w:fldCharType="begin"/>
            </w:r>
            <w:r>
              <w:rPr>
                <w:webHidden/>
              </w:rPr>
              <w:instrText xml:space="preserve"> PAGEREF _Toc150285331 \h </w:instrText>
            </w:r>
            <w:r>
              <w:rPr>
                <w:webHidden/>
              </w:rPr>
            </w:r>
            <w:r>
              <w:rPr>
                <w:webHidden/>
              </w:rPr>
              <w:fldChar w:fldCharType="separate"/>
            </w:r>
            <w:r>
              <w:rPr>
                <w:webHidden/>
              </w:rPr>
              <w:t>8</w:t>
            </w:r>
            <w:r>
              <w:rPr>
                <w:webHidden/>
              </w:rPr>
              <w:fldChar w:fldCharType="end"/>
            </w:r>
          </w:hyperlink>
        </w:p>
        <w:p w:rsidR="00A5560C" w:rsidRDefault="00A5560C">
          <w:pPr>
            <w:pStyle w:val="Sommario1"/>
            <w:rPr>
              <w:rFonts w:eastAsiaTheme="minorEastAsia"/>
              <w:b w:val="0"/>
              <w:lang w:val="it-IT" w:eastAsia="it-IT"/>
            </w:rPr>
          </w:pPr>
          <w:hyperlink w:anchor="_Toc150285332" w:history="1">
            <w:r w:rsidRPr="00593DC6">
              <w:rPr>
                <w:rStyle w:val="Collegamentoipertestuale"/>
              </w:rPr>
              <w:t>Revolutionizing Energy - Unveiling the MBGC-Digester Patent: A Sustainable Bio Gas Breakthrough!</w:t>
            </w:r>
            <w:r>
              <w:rPr>
                <w:webHidden/>
              </w:rPr>
              <w:tab/>
            </w:r>
            <w:r>
              <w:rPr>
                <w:webHidden/>
              </w:rPr>
              <w:fldChar w:fldCharType="begin"/>
            </w:r>
            <w:r>
              <w:rPr>
                <w:webHidden/>
              </w:rPr>
              <w:instrText xml:space="preserve"> PAGEREF _Toc150285332 \h </w:instrText>
            </w:r>
            <w:r>
              <w:rPr>
                <w:webHidden/>
              </w:rPr>
            </w:r>
            <w:r>
              <w:rPr>
                <w:webHidden/>
              </w:rPr>
              <w:fldChar w:fldCharType="separate"/>
            </w:r>
            <w:r>
              <w:rPr>
                <w:webHidden/>
              </w:rPr>
              <w:t>16</w:t>
            </w:r>
            <w:r>
              <w:rPr>
                <w:webHidden/>
              </w:rPr>
              <w:fldChar w:fldCharType="end"/>
            </w:r>
          </w:hyperlink>
        </w:p>
        <w:p w:rsidR="00A5560C" w:rsidRDefault="00A5560C">
          <w:pPr>
            <w:pStyle w:val="Sommario1"/>
            <w:rPr>
              <w:rFonts w:eastAsiaTheme="minorEastAsia"/>
              <w:b w:val="0"/>
              <w:lang w:val="it-IT" w:eastAsia="it-IT"/>
            </w:rPr>
          </w:pPr>
          <w:hyperlink w:anchor="_Toc150285333" w:history="1">
            <w:r w:rsidRPr="00593DC6">
              <w:rPr>
                <w:rStyle w:val="Collegamentoipertestuale"/>
              </w:rPr>
              <w:t>Innovations Shaping Sustainable Urban Futures</w:t>
            </w:r>
            <w:r>
              <w:rPr>
                <w:webHidden/>
              </w:rPr>
              <w:tab/>
            </w:r>
            <w:r>
              <w:rPr>
                <w:webHidden/>
              </w:rPr>
              <w:fldChar w:fldCharType="begin"/>
            </w:r>
            <w:r>
              <w:rPr>
                <w:webHidden/>
              </w:rPr>
              <w:instrText xml:space="preserve"> PAGEREF _Toc150285333 \h </w:instrText>
            </w:r>
            <w:r>
              <w:rPr>
                <w:webHidden/>
              </w:rPr>
            </w:r>
            <w:r>
              <w:rPr>
                <w:webHidden/>
              </w:rPr>
              <w:fldChar w:fldCharType="separate"/>
            </w:r>
            <w:r>
              <w:rPr>
                <w:webHidden/>
              </w:rPr>
              <w:t>33</w:t>
            </w:r>
            <w:r>
              <w:rPr>
                <w:webHidden/>
              </w:rPr>
              <w:fldChar w:fldCharType="end"/>
            </w:r>
          </w:hyperlink>
        </w:p>
        <w:p w:rsidR="00A5560C" w:rsidRDefault="00A5560C">
          <w:pPr>
            <w:pStyle w:val="Sommario1"/>
            <w:rPr>
              <w:rFonts w:eastAsiaTheme="minorEastAsia"/>
              <w:b w:val="0"/>
              <w:lang w:val="it-IT" w:eastAsia="it-IT"/>
            </w:rPr>
          </w:pPr>
          <w:hyperlink w:anchor="_Toc150285334" w:history="1">
            <w:r w:rsidRPr="00593DC6">
              <w:rPr>
                <w:rStyle w:val="Collegamentoipertestuale"/>
              </w:rPr>
              <w:t>Navigating Policies and Regulations for Sustainable Urban Development</w:t>
            </w:r>
            <w:r>
              <w:rPr>
                <w:webHidden/>
              </w:rPr>
              <w:tab/>
            </w:r>
            <w:r>
              <w:rPr>
                <w:webHidden/>
              </w:rPr>
              <w:fldChar w:fldCharType="begin"/>
            </w:r>
            <w:r>
              <w:rPr>
                <w:webHidden/>
              </w:rPr>
              <w:instrText xml:space="preserve"> PAGEREF _Toc150285334 \h </w:instrText>
            </w:r>
            <w:r>
              <w:rPr>
                <w:webHidden/>
              </w:rPr>
            </w:r>
            <w:r>
              <w:rPr>
                <w:webHidden/>
              </w:rPr>
              <w:fldChar w:fldCharType="separate"/>
            </w:r>
            <w:r>
              <w:rPr>
                <w:webHidden/>
              </w:rPr>
              <w:t>41</w:t>
            </w:r>
            <w:r>
              <w:rPr>
                <w:webHidden/>
              </w:rPr>
              <w:fldChar w:fldCharType="end"/>
            </w:r>
          </w:hyperlink>
        </w:p>
        <w:p w:rsidR="00A5560C" w:rsidRDefault="00A5560C">
          <w:pPr>
            <w:pStyle w:val="Sommario1"/>
            <w:rPr>
              <w:rFonts w:eastAsiaTheme="minorEastAsia"/>
              <w:b w:val="0"/>
              <w:lang w:val="it-IT" w:eastAsia="it-IT"/>
            </w:rPr>
          </w:pPr>
          <w:hyperlink w:anchor="_Toc150285335" w:history="1">
            <w:r w:rsidRPr="00593DC6">
              <w:rPr>
                <w:rStyle w:val="Collegamentoipertestuale"/>
              </w:rPr>
              <w:t>Pioneering Sustainable Urban Solutions: Navigating Challenges and Embracing Opportunities</w:t>
            </w:r>
            <w:r>
              <w:rPr>
                <w:webHidden/>
              </w:rPr>
              <w:tab/>
            </w:r>
            <w:r>
              <w:rPr>
                <w:webHidden/>
              </w:rPr>
              <w:fldChar w:fldCharType="begin"/>
            </w:r>
            <w:r>
              <w:rPr>
                <w:webHidden/>
              </w:rPr>
              <w:instrText xml:space="preserve"> PAGEREF _Toc150285335 \h </w:instrText>
            </w:r>
            <w:r>
              <w:rPr>
                <w:webHidden/>
              </w:rPr>
            </w:r>
            <w:r>
              <w:rPr>
                <w:webHidden/>
              </w:rPr>
              <w:fldChar w:fldCharType="separate"/>
            </w:r>
            <w:r>
              <w:rPr>
                <w:webHidden/>
              </w:rPr>
              <w:t>53</w:t>
            </w:r>
            <w:r>
              <w:rPr>
                <w:webHidden/>
              </w:rPr>
              <w:fldChar w:fldCharType="end"/>
            </w:r>
          </w:hyperlink>
        </w:p>
        <w:p w:rsidR="00A5560C" w:rsidRDefault="00A5560C">
          <w:pPr>
            <w:pStyle w:val="Sommario2"/>
            <w:tabs>
              <w:tab w:val="right" w:leader="dot" w:pos="5659"/>
            </w:tabs>
            <w:rPr>
              <w:rFonts w:eastAsiaTheme="minorEastAsia"/>
              <w:noProof/>
              <w:lang w:eastAsia="it-IT"/>
            </w:rPr>
          </w:pPr>
          <w:hyperlink w:anchor="_Toc150285336" w:history="1">
            <w:r w:rsidRPr="00593DC6">
              <w:rPr>
                <w:rStyle w:val="Collegamentoipertestuale"/>
                <w:noProof/>
                <w:lang w:val="en-US"/>
              </w:rPr>
              <w:t>J W T</w:t>
            </w:r>
            <w:r>
              <w:rPr>
                <w:noProof/>
                <w:webHidden/>
              </w:rPr>
              <w:tab/>
            </w:r>
            <w:r>
              <w:rPr>
                <w:noProof/>
                <w:webHidden/>
              </w:rPr>
              <w:fldChar w:fldCharType="begin"/>
            </w:r>
            <w:r>
              <w:rPr>
                <w:noProof/>
                <w:webHidden/>
              </w:rPr>
              <w:instrText xml:space="preserve"> PAGEREF _Toc150285336 \h </w:instrText>
            </w:r>
            <w:r>
              <w:rPr>
                <w:noProof/>
                <w:webHidden/>
              </w:rPr>
            </w:r>
            <w:r>
              <w:rPr>
                <w:noProof/>
                <w:webHidden/>
              </w:rPr>
              <w:fldChar w:fldCharType="separate"/>
            </w:r>
            <w:r>
              <w:rPr>
                <w:noProof/>
                <w:webHidden/>
              </w:rPr>
              <w:t>73</w:t>
            </w:r>
            <w:r>
              <w:rPr>
                <w:noProof/>
                <w:webHidden/>
              </w:rPr>
              <w:fldChar w:fldCharType="end"/>
            </w:r>
          </w:hyperlink>
        </w:p>
        <w:p w:rsidR="00A5560C" w:rsidRDefault="00A5560C">
          <w:pPr>
            <w:pStyle w:val="Sommario1"/>
            <w:rPr>
              <w:rFonts w:eastAsiaTheme="minorEastAsia"/>
              <w:b w:val="0"/>
              <w:lang w:val="it-IT" w:eastAsia="it-IT"/>
            </w:rPr>
          </w:pPr>
          <w:hyperlink w:anchor="_Toc150285337" w:history="1">
            <w:r w:rsidRPr="00593DC6">
              <w:rPr>
                <w:rStyle w:val="Collegamentoipertestuale"/>
              </w:rPr>
              <w:t>Bibliography/Conclusion</w:t>
            </w:r>
            <w:r>
              <w:rPr>
                <w:webHidden/>
              </w:rPr>
              <w:tab/>
            </w:r>
            <w:r>
              <w:rPr>
                <w:webHidden/>
              </w:rPr>
              <w:fldChar w:fldCharType="begin"/>
            </w:r>
            <w:r>
              <w:rPr>
                <w:webHidden/>
              </w:rPr>
              <w:instrText xml:space="preserve"> PAGEREF _Toc150285337 \h </w:instrText>
            </w:r>
            <w:r>
              <w:rPr>
                <w:webHidden/>
              </w:rPr>
            </w:r>
            <w:r>
              <w:rPr>
                <w:webHidden/>
              </w:rPr>
              <w:fldChar w:fldCharType="separate"/>
            </w:r>
            <w:r>
              <w:rPr>
                <w:webHidden/>
              </w:rPr>
              <w:t>73</w:t>
            </w:r>
            <w:r>
              <w:rPr>
                <w:webHidden/>
              </w:rPr>
              <w:fldChar w:fldCharType="end"/>
            </w:r>
          </w:hyperlink>
        </w:p>
        <w:p w:rsidR="00A5560C" w:rsidRDefault="00A5560C">
          <w:pPr>
            <w:pStyle w:val="Sommario1"/>
            <w:rPr>
              <w:rFonts w:eastAsiaTheme="minorEastAsia"/>
              <w:b w:val="0"/>
              <w:lang w:val="it-IT" w:eastAsia="it-IT"/>
            </w:rPr>
          </w:pPr>
          <w:hyperlink w:anchor="_Toc150285338" w:history="1">
            <w:r w:rsidRPr="00593DC6">
              <w:rPr>
                <w:rStyle w:val="Collegamentoipertestuale"/>
              </w:rPr>
              <w:t>Digester from MBGC (source) :</w:t>
            </w:r>
            <w:r>
              <w:rPr>
                <w:webHidden/>
              </w:rPr>
              <w:tab/>
            </w:r>
            <w:r>
              <w:rPr>
                <w:webHidden/>
              </w:rPr>
              <w:fldChar w:fldCharType="begin"/>
            </w:r>
            <w:r>
              <w:rPr>
                <w:webHidden/>
              </w:rPr>
              <w:instrText xml:space="preserve"> PAGEREF _Toc150285338 \h </w:instrText>
            </w:r>
            <w:r>
              <w:rPr>
                <w:webHidden/>
              </w:rPr>
            </w:r>
            <w:r>
              <w:rPr>
                <w:webHidden/>
              </w:rPr>
              <w:fldChar w:fldCharType="separate"/>
            </w:r>
            <w:r>
              <w:rPr>
                <w:webHidden/>
              </w:rPr>
              <w:t>74</w:t>
            </w:r>
            <w:r>
              <w:rPr>
                <w:webHidden/>
              </w:rPr>
              <w:fldChar w:fldCharType="end"/>
            </w:r>
          </w:hyperlink>
        </w:p>
        <w:p w:rsidR="00A5560C" w:rsidRDefault="00A5560C">
          <w:pPr>
            <w:pStyle w:val="Sommario1"/>
            <w:rPr>
              <w:rFonts w:eastAsiaTheme="minorEastAsia"/>
              <w:b w:val="0"/>
              <w:lang w:val="it-IT" w:eastAsia="it-IT"/>
            </w:rPr>
          </w:pPr>
          <w:hyperlink w:anchor="_Toc150285339" w:history="1">
            <w:r w:rsidRPr="00593DC6">
              <w:rPr>
                <w:rStyle w:val="Collegamentoipertestuale"/>
              </w:rPr>
              <w:t>Summary – Applications (to SDGs)</w:t>
            </w:r>
            <w:r>
              <w:rPr>
                <w:webHidden/>
              </w:rPr>
              <w:tab/>
            </w:r>
            <w:r>
              <w:rPr>
                <w:webHidden/>
              </w:rPr>
              <w:fldChar w:fldCharType="begin"/>
            </w:r>
            <w:r>
              <w:rPr>
                <w:webHidden/>
              </w:rPr>
              <w:instrText xml:space="preserve"> PAGEREF _Toc150285339 \h </w:instrText>
            </w:r>
            <w:r>
              <w:rPr>
                <w:webHidden/>
              </w:rPr>
            </w:r>
            <w:r>
              <w:rPr>
                <w:webHidden/>
              </w:rPr>
              <w:fldChar w:fldCharType="separate"/>
            </w:r>
            <w:r>
              <w:rPr>
                <w:webHidden/>
              </w:rPr>
              <w:t>76</w:t>
            </w:r>
            <w:r>
              <w:rPr>
                <w:webHidden/>
              </w:rPr>
              <w:fldChar w:fldCharType="end"/>
            </w:r>
          </w:hyperlink>
        </w:p>
        <w:p w:rsidR="00A5560C" w:rsidRDefault="00A5560C">
          <w:pPr>
            <w:pStyle w:val="Sommario1"/>
            <w:rPr>
              <w:rFonts w:eastAsiaTheme="minorEastAsia"/>
              <w:b w:val="0"/>
              <w:lang w:val="it-IT" w:eastAsia="it-IT"/>
            </w:rPr>
          </w:pPr>
          <w:hyperlink w:anchor="_Toc150285340" w:history="1">
            <w:r w:rsidRPr="00593DC6">
              <w:rPr>
                <w:rStyle w:val="Collegamentoipertestuale"/>
              </w:rPr>
              <w:t>IASR  International Application Status Report</w:t>
            </w:r>
            <w:r>
              <w:rPr>
                <w:webHidden/>
              </w:rPr>
              <w:tab/>
            </w:r>
            <w:r>
              <w:rPr>
                <w:webHidden/>
              </w:rPr>
              <w:fldChar w:fldCharType="begin"/>
            </w:r>
            <w:r>
              <w:rPr>
                <w:webHidden/>
              </w:rPr>
              <w:instrText xml:space="preserve"> PAGEREF _Toc150285340 \h </w:instrText>
            </w:r>
            <w:r>
              <w:rPr>
                <w:webHidden/>
              </w:rPr>
            </w:r>
            <w:r>
              <w:rPr>
                <w:webHidden/>
              </w:rPr>
              <w:fldChar w:fldCharType="separate"/>
            </w:r>
            <w:r>
              <w:rPr>
                <w:webHidden/>
              </w:rPr>
              <w:t>82</w:t>
            </w:r>
            <w:r>
              <w:rPr>
                <w:webHidden/>
              </w:rPr>
              <w:fldChar w:fldCharType="end"/>
            </w:r>
          </w:hyperlink>
        </w:p>
        <w:p w:rsidR="00D86830" w:rsidRPr="00E40853" w:rsidRDefault="00F40329" w:rsidP="00E40853">
          <w:pPr>
            <w:jc w:val="both"/>
            <w:rPr>
              <w:rFonts w:ascii="Times New Roman" w:hAnsi="Times New Roman" w:cs="Times New Roman"/>
              <w:sz w:val="24"/>
              <w:szCs w:val="24"/>
            </w:rPr>
          </w:pPr>
          <w:r w:rsidRPr="001806F5">
            <w:rPr>
              <w:rFonts w:ascii="Times New Roman" w:hAnsi="Times New Roman" w:cs="Times New Roman"/>
              <w:b/>
              <w:sz w:val="24"/>
              <w:szCs w:val="24"/>
            </w:rPr>
            <w:fldChar w:fldCharType="end"/>
          </w:r>
        </w:p>
      </w:sdtContent>
    </w:sdt>
    <w:p w:rsidR="00EA00EF" w:rsidRDefault="00EA00EF">
      <w:pPr>
        <w:rPr>
          <w:rFonts w:ascii="Times New Roman" w:hAnsi="Times New Roman" w:cs="Times New Roman"/>
          <w:sz w:val="24"/>
          <w:szCs w:val="24"/>
        </w:rPr>
      </w:pPr>
      <w:r>
        <w:rPr>
          <w:rFonts w:ascii="Times New Roman" w:hAnsi="Times New Roman" w:cs="Times New Roman"/>
          <w:sz w:val="24"/>
          <w:szCs w:val="24"/>
        </w:rPr>
        <w:br w:type="page"/>
      </w:r>
    </w:p>
    <w:p w:rsidR="00A5560C" w:rsidRDefault="00A5560C">
      <w:pPr>
        <w:rPr>
          <w:rFonts w:ascii="Times New Roman" w:eastAsiaTheme="majorEastAsia" w:hAnsi="Times New Roman" w:cstheme="majorBidi"/>
          <w:b/>
          <w:bCs/>
          <w:color w:val="365F91" w:themeColor="accent1" w:themeShade="BF"/>
          <w:sz w:val="28"/>
          <w:szCs w:val="28"/>
        </w:rPr>
      </w:pPr>
      <w:bookmarkStart w:id="0" w:name="_Toc150285329"/>
      <w:r>
        <w:lastRenderedPageBreak/>
        <w:br w:type="page"/>
      </w:r>
    </w:p>
    <w:p w:rsidR="00581ED7" w:rsidRPr="00496742" w:rsidRDefault="00581ED7" w:rsidP="00496742">
      <w:pPr>
        <w:pStyle w:val="Titolo1"/>
      </w:pPr>
      <w:r w:rsidRPr="00496742">
        <w:lastRenderedPageBreak/>
        <w:t>Index</w:t>
      </w:r>
      <w:r w:rsidR="00496742" w:rsidRPr="00496742">
        <w:t xml:space="preserve"> 7</w:t>
      </w:r>
      <w:bookmarkEnd w:id="0"/>
    </w:p>
    <w:p w:rsidR="00496742" w:rsidRPr="00496742" w:rsidRDefault="00496742" w:rsidP="00496742"/>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Chapter # 1</w:t>
      </w:r>
    </w:p>
    <w:p w:rsidR="00581ED7" w:rsidRPr="00640522" w:rsidRDefault="00581ED7" w:rsidP="00BA7002">
      <w:pPr>
        <w:pStyle w:val="Paragrafoelenco"/>
        <w:numPr>
          <w:ilvl w:val="1"/>
          <w:numId w:val="30"/>
        </w:numPr>
        <w:jc w:val="both"/>
        <w:rPr>
          <w:rFonts w:ascii="Times New Roman" w:hAnsi="Times New Roman" w:cs="Times New Roman"/>
          <w:sz w:val="24"/>
          <w:szCs w:val="24"/>
        </w:rPr>
      </w:pPr>
      <w:r w:rsidRPr="00640522">
        <w:rPr>
          <w:rFonts w:ascii="Times New Roman" w:hAnsi="Times New Roman" w:cs="Times New Roman"/>
          <w:sz w:val="24"/>
          <w:szCs w:val="24"/>
        </w:rPr>
        <w:t>Introduction</w:t>
      </w:r>
    </w:p>
    <w:p w:rsidR="00581ED7" w:rsidRPr="00640522" w:rsidRDefault="00581ED7" w:rsidP="00BA7002">
      <w:pPr>
        <w:pStyle w:val="Paragrafoelenco"/>
        <w:numPr>
          <w:ilvl w:val="1"/>
          <w:numId w:val="30"/>
        </w:numPr>
        <w:jc w:val="both"/>
        <w:rPr>
          <w:rFonts w:ascii="Times New Roman" w:hAnsi="Times New Roman" w:cs="Times New Roman"/>
          <w:sz w:val="24"/>
          <w:szCs w:val="24"/>
        </w:rPr>
      </w:pPr>
      <w:r w:rsidRPr="00640522">
        <w:rPr>
          <w:rFonts w:ascii="Times New Roman" w:hAnsi="Times New Roman" w:cs="Times New Roman"/>
          <w:sz w:val="24"/>
          <w:szCs w:val="24"/>
        </w:rPr>
        <w:t>Key Features</w:t>
      </w:r>
    </w:p>
    <w:p w:rsidR="00581ED7" w:rsidRPr="00640522" w:rsidRDefault="00581ED7" w:rsidP="00BA7002">
      <w:pPr>
        <w:pStyle w:val="Paragrafoelenco"/>
        <w:numPr>
          <w:ilvl w:val="2"/>
          <w:numId w:val="30"/>
        </w:numPr>
        <w:jc w:val="both"/>
        <w:rPr>
          <w:rFonts w:ascii="Times New Roman" w:hAnsi="Times New Roman" w:cs="Times New Roman"/>
          <w:sz w:val="24"/>
          <w:szCs w:val="24"/>
        </w:rPr>
      </w:pPr>
      <w:r w:rsidRPr="00640522">
        <w:rPr>
          <w:rFonts w:ascii="Times New Roman" w:hAnsi="Times New Roman" w:cs="Times New Roman"/>
          <w:sz w:val="24"/>
          <w:szCs w:val="24"/>
        </w:rPr>
        <w:t>Selective organic matrix extraction</w:t>
      </w:r>
    </w:p>
    <w:p w:rsidR="00581ED7" w:rsidRPr="00640522" w:rsidRDefault="00581ED7" w:rsidP="00BA7002">
      <w:pPr>
        <w:pStyle w:val="Paragrafoelenco"/>
        <w:numPr>
          <w:ilvl w:val="2"/>
          <w:numId w:val="30"/>
        </w:numPr>
        <w:jc w:val="both"/>
        <w:rPr>
          <w:rFonts w:ascii="Times New Roman" w:hAnsi="Times New Roman" w:cs="Times New Roman"/>
          <w:sz w:val="24"/>
          <w:szCs w:val="24"/>
        </w:rPr>
      </w:pPr>
      <w:r w:rsidRPr="00640522">
        <w:rPr>
          <w:rFonts w:ascii="Times New Roman" w:hAnsi="Times New Roman" w:cs="Times New Roman"/>
          <w:sz w:val="24"/>
          <w:szCs w:val="24"/>
        </w:rPr>
        <w:t>Efficiency of resources</w:t>
      </w:r>
    </w:p>
    <w:p w:rsidR="00581ED7" w:rsidRPr="00640522" w:rsidRDefault="00581ED7" w:rsidP="00BA7002">
      <w:pPr>
        <w:pStyle w:val="Paragrafoelenco"/>
        <w:numPr>
          <w:ilvl w:val="2"/>
          <w:numId w:val="30"/>
        </w:numPr>
        <w:jc w:val="both"/>
        <w:rPr>
          <w:rFonts w:ascii="Times New Roman" w:hAnsi="Times New Roman" w:cs="Times New Roman"/>
          <w:sz w:val="24"/>
          <w:szCs w:val="24"/>
        </w:rPr>
      </w:pPr>
      <w:r w:rsidRPr="00640522">
        <w:rPr>
          <w:rFonts w:ascii="Times New Roman" w:hAnsi="Times New Roman" w:cs="Times New Roman"/>
          <w:sz w:val="24"/>
          <w:szCs w:val="24"/>
        </w:rPr>
        <w:t>Separation by gravity</w:t>
      </w:r>
    </w:p>
    <w:p w:rsidR="00581ED7" w:rsidRPr="00640522" w:rsidRDefault="00581ED7" w:rsidP="00BA7002">
      <w:pPr>
        <w:pStyle w:val="Paragrafoelenco"/>
        <w:numPr>
          <w:ilvl w:val="2"/>
          <w:numId w:val="30"/>
        </w:numPr>
        <w:jc w:val="both"/>
        <w:rPr>
          <w:rFonts w:ascii="Times New Roman" w:hAnsi="Times New Roman" w:cs="Times New Roman"/>
          <w:sz w:val="24"/>
          <w:szCs w:val="24"/>
        </w:rPr>
      </w:pPr>
      <w:r w:rsidRPr="00640522">
        <w:rPr>
          <w:rFonts w:ascii="Times New Roman" w:hAnsi="Times New Roman" w:cs="Times New Roman"/>
          <w:sz w:val="24"/>
          <w:szCs w:val="24"/>
        </w:rPr>
        <w:t>Enzymatic facilitation</w:t>
      </w:r>
    </w:p>
    <w:p w:rsidR="00581ED7" w:rsidRPr="00640522" w:rsidRDefault="00581ED7" w:rsidP="00BA7002">
      <w:pPr>
        <w:pStyle w:val="Paragrafoelenco"/>
        <w:numPr>
          <w:ilvl w:val="2"/>
          <w:numId w:val="30"/>
        </w:numPr>
        <w:jc w:val="both"/>
        <w:rPr>
          <w:rFonts w:ascii="Times New Roman" w:hAnsi="Times New Roman" w:cs="Times New Roman"/>
          <w:sz w:val="24"/>
          <w:szCs w:val="24"/>
        </w:rPr>
      </w:pPr>
      <w:r w:rsidRPr="00640522">
        <w:rPr>
          <w:rFonts w:ascii="Times New Roman" w:hAnsi="Times New Roman" w:cs="Times New Roman"/>
          <w:sz w:val="24"/>
          <w:szCs w:val="24"/>
        </w:rPr>
        <w:t>Concentrated Water Resource Recovery</w:t>
      </w:r>
    </w:p>
    <w:p w:rsidR="00581ED7" w:rsidRPr="00640522" w:rsidRDefault="00581ED7" w:rsidP="00BA7002">
      <w:pPr>
        <w:pStyle w:val="Paragrafoelenco"/>
        <w:numPr>
          <w:ilvl w:val="2"/>
          <w:numId w:val="30"/>
        </w:numPr>
        <w:jc w:val="both"/>
        <w:rPr>
          <w:rFonts w:ascii="Times New Roman" w:hAnsi="Times New Roman" w:cs="Times New Roman"/>
          <w:sz w:val="24"/>
          <w:szCs w:val="24"/>
        </w:rPr>
      </w:pPr>
      <w:r w:rsidRPr="00640522">
        <w:rPr>
          <w:rFonts w:ascii="Times New Roman" w:hAnsi="Times New Roman" w:cs="Times New Roman"/>
          <w:sz w:val="24"/>
          <w:szCs w:val="24"/>
        </w:rPr>
        <w:t>Relevance on a global scale and SDG Contribution 11.1</w:t>
      </w:r>
    </w:p>
    <w:p w:rsidR="00581ED7" w:rsidRPr="00640522" w:rsidRDefault="00581ED7" w:rsidP="00BA7002">
      <w:pPr>
        <w:pStyle w:val="Paragrafoelenco"/>
        <w:numPr>
          <w:ilvl w:val="2"/>
          <w:numId w:val="30"/>
        </w:numPr>
        <w:jc w:val="both"/>
        <w:rPr>
          <w:rFonts w:ascii="Times New Roman" w:hAnsi="Times New Roman" w:cs="Times New Roman"/>
          <w:sz w:val="24"/>
          <w:szCs w:val="24"/>
        </w:rPr>
      </w:pPr>
      <w:r w:rsidRPr="00640522">
        <w:rPr>
          <w:rFonts w:ascii="Times New Roman" w:hAnsi="Times New Roman" w:cs="Times New Roman"/>
          <w:sz w:val="24"/>
          <w:szCs w:val="24"/>
        </w:rPr>
        <w:t>Design of Devices and Processes under Control</w:t>
      </w:r>
    </w:p>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Chapter # 2</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MBGC and SDG11.1</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Innovations contributes to achieving SDG11.1</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In-depth analysis of the MBGC - Digester Patent and SDG11.1</w:t>
      </w:r>
    </w:p>
    <w:p w:rsidR="00581ED7" w:rsidRPr="00640522" w:rsidRDefault="00581ED7" w:rsidP="00BA7002">
      <w:pPr>
        <w:pStyle w:val="Paragrafoelenco"/>
        <w:numPr>
          <w:ilvl w:val="2"/>
          <w:numId w:val="1"/>
        </w:numPr>
        <w:jc w:val="both"/>
        <w:rPr>
          <w:rFonts w:ascii="Times New Roman" w:hAnsi="Times New Roman" w:cs="Times New Roman"/>
          <w:sz w:val="24"/>
          <w:szCs w:val="24"/>
        </w:rPr>
      </w:pPr>
      <w:r w:rsidRPr="00640522">
        <w:rPr>
          <w:rFonts w:ascii="Times New Roman" w:hAnsi="Times New Roman" w:cs="Times New Roman"/>
          <w:sz w:val="24"/>
          <w:szCs w:val="24"/>
        </w:rPr>
        <w:t>Title and Abstract</w:t>
      </w:r>
    </w:p>
    <w:p w:rsidR="00581ED7" w:rsidRPr="00640522" w:rsidRDefault="00581ED7" w:rsidP="00BA7002">
      <w:pPr>
        <w:pStyle w:val="Paragrafoelenco"/>
        <w:numPr>
          <w:ilvl w:val="2"/>
          <w:numId w:val="1"/>
        </w:numPr>
        <w:jc w:val="both"/>
        <w:rPr>
          <w:rFonts w:ascii="Times New Roman" w:hAnsi="Times New Roman" w:cs="Times New Roman"/>
          <w:sz w:val="24"/>
          <w:szCs w:val="24"/>
        </w:rPr>
      </w:pPr>
      <w:r w:rsidRPr="00640522">
        <w:rPr>
          <w:rFonts w:ascii="Times New Roman" w:hAnsi="Times New Roman" w:cs="Times New Roman"/>
          <w:sz w:val="24"/>
          <w:szCs w:val="24"/>
        </w:rPr>
        <w:t>Description</w:t>
      </w:r>
    </w:p>
    <w:p w:rsidR="00581ED7" w:rsidRPr="00640522" w:rsidRDefault="00581ED7" w:rsidP="00BA7002">
      <w:pPr>
        <w:pStyle w:val="Paragrafoelenco"/>
        <w:numPr>
          <w:ilvl w:val="3"/>
          <w:numId w:val="1"/>
        </w:numPr>
        <w:jc w:val="both"/>
        <w:rPr>
          <w:rFonts w:ascii="Times New Roman" w:hAnsi="Times New Roman" w:cs="Times New Roman"/>
          <w:sz w:val="24"/>
          <w:szCs w:val="24"/>
        </w:rPr>
      </w:pPr>
      <w:r w:rsidRPr="00640522">
        <w:rPr>
          <w:rFonts w:ascii="Times New Roman" w:hAnsi="Times New Roman" w:cs="Times New Roman"/>
          <w:sz w:val="24"/>
          <w:szCs w:val="24"/>
        </w:rPr>
        <w:t>Hydrolytic Phase</w:t>
      </w:r>
    </w:p>
    <w:p w:rsidR="00581ED7" w:rsidRPr="00640522" w:rsidRDefault="00581ED7" w:rsidP="00BA7002">
      <w:pPr>
        <w:pStyle w:val="Paragrafoelenco"/>
        <w:numPr>
          <w:ilvl w:val="3"/>
          <w:numId w:val="1"/>
        </w:numPr>
        <w:jc w:val="both"/>
        <w:rPr>
          <w:rFonts w:ascii="Times New Roman" w:hAnsi="Times New Roman" w:cs="Times New Roman"/>
          <w:sz w:val="24"/>
          <w:szCs w:val="24"/>
        </w:rPr>
      </w:pPr>
      <w:r w:rsidRPr="00640522">
        <w:rPr>
          <w:rFonts w:ascii="Times New Roman" w:hAnsi="Times New Roman" w:cs="Times New Roman"/>
          <w:sz w:val="24"/>
          <w:szCs w:val="24"/>
        </w:rPr>
        <w:t>Acidogenesis Phase</w:t>
      </w:r>
    </w:p>
    <w:p w:rsidR="00581ED7" w:rsidRPr="00640522" w:rsidRDefault="00581ED7" w:rsidP="00BA7002">
      <w:pPr>
        <w:pStyle w:val="Paragrafoelenco"/>
        <w:numPr>
          <w:ilvl w:val="3"/>
          <w:numId w:val="1"/>
        </w:numPr>
        <w:jc w:val="both"/>
        <w:rPr>
          <w:rFonts w:ascii="Times New Roman" w:hAnsi="Times New Roman" w:cs="Times New Roman"/>
          <w:sz w:val="24"/>
          <w:szCs w:val="24"/>
        </w:rPr>
      </w:pPr>
      <w:r w:rsidRPr="00640522">
        <w:rPr>
          <w:rFonts w:ascii="Times New Roman" w:hAnsi="Times New Roman" w:cs="Times New Roman"/>
          <w:sz w:val="24"/>
          <w:szCs w:val="24"/>
        </w:rPr>
        <w:t>Acetogenesis Phase</w:t>
      </w:r>
    </w:p>
    <w:p w:rsidR="00581ED7" w:rsidRPr="00640522" w:rsidRDefault="00581ED7" w:rsidP="00BA7002">
      <w:pPr>
        <w:pStyle w:val="Paragrafoelenco"/>
        <w:numPr>
          <w:ilvl w:val="3"/>
          <w:numId w:val="1"/>
        </w:numPr>
        <w:jc w:val="both"/>
        <w:rPr>
          <w:rFonts w:ascii="Times New Roman" w:hAnsi="Times New Roman" w:cs="Times New Roman"/>
          <w:sz w:val="24"/>
          <w:szCs w:val="24"/>
        </w:rPr>
      </w:pPr>
      <w:r w:rsidRPr="00640522">
        <w:rPr>
          <w:rFonts w:ascii="Times New Roman" w:hAnsi="Times New Roman" w:cs="Times New Roman"/>
          <w:sz w:val="24"/>
          <w:szCs w:val="24"/>
        </w:rPr>
        <w:t>Methanogenesois Phase</w:t>
      </w:r>
    </w:p>
    <w:p w:rsidR="00581ED7" w:rsidRPr="00640522" w:rsidRDefault="00581ED7" w:rsidP="00BA7002">
      <w:pPr>
        <w:pStyle w:val="Paragrafoelenco"/>
        <w:numPr>
          <w:ilvl w:val="3"/>
          <w:numId w:val="1"/>
        </w:numPr>
        <w:jc w:val="both"/>
        <w:rPr>
          <w:rFonts w:ascii="Times New Roman" w:hAnsi="Times New Roman" w:cs="Times New Roman"/>
          <w:sz w:val="24"/>
          <w:szCs w:val="24"/>
        </w:rPr>
      </w:pPr>
      <w:r w:rsidRPr="00640522">
        <w:rPr>
          <w:rFonts w:ascii="Times New Roman" w:hAnsi="Times New Roman" w:cs="Times New Roman"/>
          <w:sz w:val="24"/>
          <w:szCs w:val="24"/>
        </w:rPr>
        <w:t>Gravimetric Separation</w:t>
      </w:r>
    </w:p>
    <w:p w:rsidR="00581ED7" w:rsidRPr="00640522" w:rsidRDefault="00581ED7" w:rsidP="00BA7002">
      <w:pPr>
        <w:pStyle w:val="Paragrafoelenco"/>
        <w:numPr>
          <w:ilvl w:val="2"/>
          <w:numId w:val="1"/>
        </w:numPr>
        <w:jc w:val="both"/>
        <w:rPr>
          <w:rFonts w:ascii="Times New Roman" w:hAnsi="Times New Roman" w:cs="Times New Roman"/>
          <w:sz w:val="24"/>
          <w:szCs w:val="24"/>
        </w:rPr>
      </w:pPr>
      <w:r w:rsidRPr="00640522">
        <w:rPr>
          <w:rFonts w:ascii="Times New Roman" w:hAnsi="Times New Roman" w:cs="Times New Roman"/>
          <w:sz w:val="24"/>
          <w:szCs w:val="24"/>
        </w:rPr>
        <w:lastRenderedPageBreak/>
        <w:t>Claims and Drawing</w:t>
      </w:r>
    </w:p>
    <w:p w:rsidR="00581ED7" w:rsidRPr="00640522" w:rsidRDefault="00581ED7" w:rsidP="00BA7002">
      <w:pPr>
        <w:pStyle w:val="Paragrafoelenco"/>
        <w:numPr>
          <w:ilvl w:val="2"/>
          <w:numId w:val="1"/>
        </w:numPr>
        <w:jc w:val="both"/>
        <w:rPr>
          <w:rFonts w:ascii="Times New Roman" w:hAnsi="Times New Roman" w:cs="Times New Roman"/>
          <w:sz w:val="24"/>
          <w:szCs w:val="24"/>
        </w:rPr>
      </w:pPr>
      <w:r w:rsidRPr="00640522">
        <w:rPr>
          <w:rFonts w:ascii="Times New Roman" w:hAnsi="Times New Roman" w:cs="Times New Roman"/>
          <w:sz w:val="24"/>
          <w:szCs w:val="24"/>
        </w:rPr>
        <w:t>Analysis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Technology Evaluation</w:t>
      </w:r>
    </w:p>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Implementation of Related Technologies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Case Study 1: Urban Waste Management, Bangladesh</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Environmental Impact Anticipation</w:t>
      </w:r>
    </w:p>
    <w:p w:rsidR="00581ED7" w:rsidRPr="00640522" w:rsidRDefault="00581ED7" w:rsidP="00BA7002">
      <w:pPr>
        <w:pStyle w:val="Paragrafoelenco"/>
        <w:numPr>
          <w:ilvl w:val="2"/>
          <w:numId w:val="1"/>
        </w:numPr>
        <w:jc w:val="both"/>
        <w:rPr>
          <w:rFonts w:ascii="Times New Roman" w:hAnsi="Times New Roman" w:cs="Times New Roman"/>
          <w:sz w:val="24"/>
          <w:szCs w:val="24"/>
        </w:rPr>
      </w:pPr>
      <w:r w:rsidRPr="00640522">
        <w:rPr>
          <w:rFonts w:ascii="Times New Roman" w:hAnsi="Times New Roman" w:cs="Times New Roman"/>
          <w:sz w:val="24"/>
          <w:szCs w:val="24"/>
        </w:rPr>
        <w:t>For SDG11.1</w:t>
      </w:r>
    </w:p>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Policy and Regulatory Considerations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Local Sustainability Promotion</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Coordinating National Urban Resilience Strategies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Trailblazing on the Global Scale</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Government Programs &amp; Initiatives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Metrics for Theoretical Performance</w:t>
      </w:r>
    </w:p>
    <w:p w:rsidR="00581ED7" w:rsidRPr="00640522" w:rsidRDefault="00581ED7" w:rsidP="00BA7002">
      <w:pPr>
        <w:pStyle w:val="Paragrafoelenco"/>
        <w:numPr>
          <w:ilvl w:val="0"/>
          <w:numId w:val="1"/>
        </w:numPr>
        <w:jc w:val="both"/>
        <w:rPr>
          <w:rFonts w:ascii="Times New Roman" w:hAnsi="Times New Roman" w:cs="Times New Roman"/>
          <w:sz w:val="24"/>
          <w:szCs w:val="24"/>
        </w:rPr>
      </w:pPr>
      <w:r w:rsidRPr="00640522">
        <w:rPr>
          <w:rFonts w:ascii="Times New Roman" w:hAnsi="Times New Roman" w:cs="Times New Roman"/>
          <w:sz w:val="24"/>
          <w:szCs w:val="24"/>
        </w:rPr>
        <w:t>Pioneering Sustainable Urban Solutions: Navigating Challenges and Embracing Opportunities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Technical Developments and Upcoming Patterns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Implementation Issues and Solutions</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Social and Community Repercussions of MBGC Adoption</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MBGC Technology: Unlocking Potential for Sustainable Energy and Clean Energy</w:t>
      </w:r>
    </w:p>
    <w:p w:rsidR="00581ED7" w:rsidRPr="00640522" w:rsidRDefault="00581ED7" w:rsidP="00BA7002">
      <w:pPr>
        <w:pStyle w:val="Paragrafoelenco"/>
        <w:numPr>
          <w:ilvl w:val="1"/>
          <w:numId w:val="1"/>
        </w:numPr>
        <w:jc w:val="both"/>
        <w:rPr>
          <w:rFonts w:ascii="Times New Roman" w:hAnsi="Times New Roman" w:cs="Times New Roman"/>
          <w:sz w:val="24"/>
          <w:szCs w:val="24"/>
        </w:rPr>
      </w:pPr>
      <w:r w:rsidRPr="00640522">
        <w:rPr>
          <w:rFonts w:ascii="Times New Roman" w:hAnsi="Times New Roman" w:cs="Times New Roman"/>
          <w:sz w:val="24"/>
          <w:szCs w:val="24"/>
        </w:rPr>
        <w:t>Relevance &amp; Impact Worldwide</w:t>
      </w:r>
    </w:p>
    <w:p w:rsidR="00BA7002" w:rsidRDefault="00BA700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81ED7" w:rsidRPr="00496742" w:rsidRDefault="00581ED7" w:rsidP="00BA7002">
      <w:pPr>
        <w:pStyle w:val="Titolo1"/>
        <w:rPr>
          <w:szCs w:val="24"/>
          <w:lang w:val="en-US"/>
        </w:rPr>
      </w:pPr>
      <w:bookmarkStart w:id="1" w:name="_Toc150285330"/>
      <w:r w:rsidRPr="00496742">
        <w:rPr>
          <w:szCs w:val="24"/>
          <w:lang w:val="en-US"/>
        </w:rPr>
        <w:lastRenderedPageBreak/>
        <w:t>Title: "Urban Resilience Revolution: Unleashing Sustainable Solutions with MBGC and JWT Green Patent"</w:t>
      </w:r>
      <w:bookmarkEnd w:id="1"/>
    </w:p>
    <w:p w:rsidR="00BA7002" w:rsidRDefault="00BA7002" w:rsidP="00BA7002">
      <w:pPr>
        <w:jc w:val="both"/>
        <w:rPr>
          <w:rFonts w:ascii="Times New Roman" w:hAnsi="Times New Roman" w:cs="Times New Roman"/>
          <w:b/>
          <w:sz w:val="24"/>
          <w:szCs w:val="24"/>
          <w:lang w:val="en-US"/>
        </w:rPr>
      </w:pPr>
    </w:p>
    <w:p w:rsidR="00581ED7" w:rsidRPr="00581ED7" w:rsidRDefault="00581ED7" w:rsidP="00635369">
      <w:pPr>
        <w:pStyle w:val="Titolo1"/>
        <w:rPr>
          <w:lang w:val="en-US"/>
        </w:rPr>
      </w:pPr>
      <w:bookmarkStart w:id="2" w:name="_Toc150285331"/>
      <w:r w:rsidRPr="00581ED7">
        <w:rPr>
          <w:lang w:val="en-US"/>
        </w:rPr>
        <w:t>Introduction</w:t>
      </w:r>
      <w:bookmarkEnd w:id="2"/>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Mini Bio Gas Continuous (MBGC) system is a ground-breaking invention in the field of renewable energy that has the potential to completely transform the production of power. SDG 11.1, which aims to provide everyone with access to decent housing, is perfectly aligned with the MBGC, which represents the potential for a more sustainable future.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Among the 17 Sustainable Development Goals (SDGs) set forward by the United Nations to tackle pressing global issues, SDG 11.1 has a significant position. It recognizes the critical role housing plays in human well-being and fights for every person's fundamental right to accessible and adequate housing.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This research explores the core of MBGC and shows how it has the ability to change the way that renewable energy is produced. At the same time, it sets off on a futuristic </w:t>
      </w:r>
      <w:r w:rsidRPr="00581ED7">
        <w:rPr>
          <w:rFonts w:ascii="Times New Roman" w:hAnsi="Times New Roman" w:cs="Times New Roman"/>
          <w:sz w:val="24"/>
          <w:szCs w:val="24"/>
          <w:lang w:val="en-US"/>
        </w:rPr>
        <w:lastRenderedPageBreak/>
        <w:t>path that will lead to every community having access to safe and sustainable housing.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cornerstone of our effort to create a more sustainable and equitable world is SDG 11.1. If achieved, it will have a significant influence on housing as well as on reducing environmental degradation, supporting agricultural practises, and strengthening climate resilience.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 this context, our story takes shape, deftly combining aspects of investigation, socioeconomic impact assessment, and creative storytelling. Come along on this fascinating journey where impact, creativity, and the relentless pursuit of a sustainable future meet.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Innovation and global ambitions coming together has produced amazing advances in an era of growing environmental concerns and the pressing need for sustainable solutions. Among these, the patent for the Mini Bio Gas Continuous (MBGC) - Digester is a ray of hope and evidence of human inventiveness. This invention, a bioengineering marvel, has the potential to completely change the way that renewable energy is produced.</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This in-depth analysis explores the complex aspects of the MBGC - Digester patent and considers its significant ramifications for Bangladesh's attainment of Sustainable Development Goal (SDG) 11.1. We will go through the </w:t>
      </w:r>
      <w:r w:rsidRPr="00581ED7">
        <w:rPr>
          <w:rFonts w:ascii="Times New Roman" w:hAnsi="Times New Roman" w:cs="Times New Roman"/>
          <w:sz w:val="24"/>
          <w:szCs w:val="24"/>
          <w:lang w:val="en-US"/>
        </w:rPr>
        <w:lastRenderedPageBreak/>
        <w:t>salient characteristics and aspects that make the MBGC - Digester patent a remarkable innovation as we set off on this insightful adventure.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This technology represents a paradigm leap in the production of bioenergy, from its selective extraction of organic matrices to its gravimetric separation, from biological facilitation to its involvement in resource efficiency. The MBGC - Digester patent has the potential to have a positive ripple effect on a local and global level, in addition to its technological capabilities.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This investigation is a call to action for experts, managers, decision-makers, and everybody else involved in the development of sustainable technology, not just an academic project. By examining the MBGC - Digester patent under the framework of SDG 11.1 , we hope to reveal its capacity to change Bangladesh's environmental environment and, consequently, the global environment.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As we delve further, we will explore the nuances of the invention, dissecting its internal mechanisms and making analogies with other waste-to-energy technologies currently in use. Concrete examples of how this technology can be used to address urban waste management and smoothly integrate into industrial operations will be provided through case studies and environmental impact evaluations.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We will examine policy considerations at many levels, ranging from national to global, to provide insight into the regulatory environment that may help or impede the broad adoption of this innovative technology. We will foresee a future where the MBGC - Digester patent not only prospers but also becomes the basis of a more sustainable world through an examination of long-term sustainability and scalability.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However, our adventure does not finish with the observable applications of this technology. Imagining a Bangladesh where the MBGC - Digester patent is widely adopted, we will weave stories that cut over time and geography to inspire a worldwide readership.</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This thorough investigation serves as a guide for action rather than just being an academic exercise. Together, we will explore the features and worth of the MBGC - Digester patent and show the way towards a more sustainable and environmentally friendly future for Bangladesh and beyond. The voyage has commenced.</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Key Features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 xml:space="preserve">Organic matrix extraction that is selective: </w:t>
      </w:r>
      <w:r w:rsidRPr="00581ED7">
        <w:rPr>
          <w:rFonts w:ascii="Times New Roman" w:hAnsi="Times New Roman" w:cs="Times New Roman"/>
          <w:sz w:val="24"/>
          <w:szCs w:val="24"/>
          <w:lang w:val="en-US"/>
        </w:rPr>
        <w:t xml:space="preserve">The exact extraction of organic compounds from waste streams is the focus of this feature. By lessening the environmental impact of organic waste in urban settings, it indirectly </w:t>
      </w:r>
      <w:r w:rsidRPr="00581ED7">
        <w:rPr>
          <w:rFonts w:ascii="Times New Roman" w:hAnsi="Times New Roman" w:cs="Times New Roman"/>
          <w:sz w:val="24"/>
          <w:szCs w:val="24"/>
          <w:lang w:val="en-US"/>
        </w:rPr>
        <w:lastRenderedPageBreak/>
        <w:t>helps SDG 11.1 even though its main goals are waste reduction and resource efficiency.</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 xml:space="preserve">Efficiency of resources: </w:t>
      </w:r>
      <w:r w:rsidRPr="00581ED7">
        <w:rPr>
          <w:rFonts w:ascii="Times New Roman" w:hAnsi="Times New Roman" w:cs="Times New Roman"/>
          <w:sz w:val="24"/>
          <w:szCs w:val="24"/>
          <w:lang w:val="en-US"/>
        </w:rPr>
        <w:t>Resource efficiency pertains to the optimal utilization of resources throughout the process of producing biogas. This feature directly supports SDG 11.1 by encouraging the sustainable and effective use of resources in urban contexts by optimizing the conversion of organic waste into energy.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Separation by gravity:</w:t>
      </w:r>
      <w:r w:rsidRPr="00581ED7">
        <w:rPr>
          <w:rFonts w:ascii="Times New Roman" w:hAnsi="Times New Roman" w:cs="Times New Roman"/>
          <w:sz w:val="24"/>
          <w:szCs w:val="24"/>
          <w:lang w:val="en-US"/>
        </w:rPr>
        <w:t xml:space="preserve"> One important step in the processing of trash is gravimetric separation. It facilitates component separation according to density, which improves the efficiency of biogas production. Through the improvement of urban waste management practises, this feature indirectly promotes SDG 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Enzymatic facilitation:</w:t>
      </w:r>
      <w:r w:rsidRPr="00581ED7">
        <w:rPr>
          <w:rFonts w:ascii="Times New Roman" w:hAnsi="Times New Roman" w:cs="Times New Roman"/>
          <w:sz w:val="24"/>
          <w:szCs w:val="24"/>
          <w:lang w:val="en-US"/>
        </w:rPr>
        <w:t> To put it another way, biological facilitation is the process of using microorganisms to help break down trash and produce biogas. This feature indirectly supports SDG 11.1 by offering an environmentally friendly way to handle organic waste in urban areas through the use of natural processes.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Concentrated Water Resource Recovery:</w:t>
      </w:r>
      <w:r w:rsidRPr="00581ED7">
        <w:rPr>
          <w:rFonts w:ascii="Times New Roman" w:hAnsi="Times New Roman" w:cs="Times New Roman"/>
          <w:sz w:val="24"/>
          <w:szCs w:val="24"/>
          <w:lang w:val="en-US"/>
        </w:rPr>
        <w:t xml:space="preserve"> The recovery and reuse of water resources from the biogas generation process is the focus of this feature. Although it is necessary for sustainable practises, water recovery may be </w:t>
      </w:r>
      <w:r w:rsidRPr="00581ED7">
        <w:rPr>
          <w:rFonts w:ascii="Times New Roman" w:hAnsi="Times New Roman" w:cs="Times New Roman"/>
          <w:sz w:val="24"/>
          <w:szCs w:val="24"/>
          <w:lang w:val="en-US"/>
        </w:rPr>
        <w:lastRenderedPageBreak/>
        <w:t>partially aligned with SDG 11.1 because it is important for urban sustainability but does not directly contribute to the objective.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Relevance on a global scale and SDG Contribution 11.1:</w:t>
      </w:r>
      <w:r w:rsidRPr="00581ED7">
        <w:rPr>
          <w:rFonts w:ascii="Times New Roman" w:hAnsi="Times New Roman" w:cs="Times New Roman"/>
          <w:sz w:val="24"/>
          <w:szCs w:val="24"/>
          <w:lang w:val="en-US"/>
        </w:rPr>
        <w:t> This feature emphasizes how important technology is to accomplishing SDG 11.1 globally. It immediately advances the objective of guaranteeing access to sufficient, secure, and reasonably priced housing as well as essential services on a worldwide basis by offering a sustainable energy option for metropolitan areas.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Design of Devices and Processes under Control:</w:t>
      </w:r>
      <w:r w:rsidRPr="00581ED7">
        <w:rPr>
          <w:rFonts w:ascii="Times New Roman" w:hAnsi="Times New Roman" w:cs="Times New Roman"/>
          <w:sz w:val="24"/>
          <w:szCs w:val="24"/>
          <w:lang w:val="en-US"/>
        </w:rPr>
        <w:t> This characteristic relates to the technology's careful engineering and regulated operating procedures. Controlled procedures can improve the effectiveness of waste management, so indirectly improving urban sustainability even though they do not directly promote SDG 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Reduced waste and the circular economy:</w:t>
      </w:r>
      <w:r w:rsidRPr="00581ED7">
        <w:rPr>
          <w:rFonts w:ascii="Times New Roman" w:hAnsi="Times New Roman" w:cs="Times New Roman"/>
          <w:sz w:val="24"/>
          <w:szCs w:val="24"/>
          <w:lang w:val="en-US"/>
        </w:rPr>
        <w:t> This innovation turns organic waste into a useful energy source, directly supporting SDG 11.1. It is consistent with the ideas of a circular economy, which reduces the environmental effect of metropolitan areas by recycling, repurposing, and reusing resources.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lastRenderedPageBreak/>
        <w:t>SDG (Sustainable Development Goals) alignment:</w:t>
      </w:r>
      <w:r w:rsidRPr="00581ED7">
        <w:rPr>
          <w:rFonts w:ascii="Times New Roman" w:hAnsi="Times New Roman" w:cs="Times New Roman"/>
          <w:sz w:val="24"/>
          <w:szCs w:val="24"/>
          <w:lang w:val="en-US"/>
        </w:rPr>
        <w:t> This characteristic represents how much the technology has contributed overall to SDG 11.1, among other SDGs. It supports more general sustainable development goals by tackling urban sustainability issues with effective resource and waste management.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Flexibility and versatility:</w:t>
      </w:r>
      <w:r w:rsidRPr="00581ED7">
        <w:rPr>
          <w:rFonts w:ascii="Times New Roman" w:hAnsi="Times New Roman" w:cs="Times New Roman"/>
          <w:sz w:val="24"/>
          <w:szCs w:val="24"/>
          <w:lang w:val="en-US"/>
        </w:rPr>
        <w:t> This characteristic makes it possible to use the technology in a variety of settings and sectors. Although versatility does not directly contribute to SDG 11.1, it does guarantee that the technology may be adapted to fit particular urban needs and difficulties, which indirectly supports sustainability.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Prospects for the merger of industries:</w:t>
      </w:r>
      <w:r w:rsidRPr="00581ED7">
        <w:rPr>
          <w:rFonts w:ascii="Times New Roman" w:hAnsi="Times New Roman" w:cs="Times New Roman"/>
          <w:sz w:val="24"/>
          <w:szCs w:val="24"/>
          <w:lang w:val="en-US"/>
        </w:rPr>
        <w:t> This feature highlights how easily the technology could be incorporated into industrial processes. Urban sustainability can be indirectly supported by industrial integration, even though it might not directly address SDG 11.1 through optimizing resource utilization and efficiency.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t>Adaptability for a Range of Uses:</w:t>
      </w:r>
      <w:r w:rsidRPr="00581ED7">
        <w:rPr>
          <w:rFonts w:ascii="Times New Roman" w:hAnsi="Times New Roman" w:cs="Times New Roman"/>
          <w:sz w:val="24"/>
          <w:szCs w:val="24"/>
          <w:lang w:val="en-US"/>
        </w:rPr>
        <w:t> The technology's adaptability enables it to fit various waste streams and urban areas. Flexibility allows the technology to be effectively deployed in a variety of urban situations, which indirectly supports sustainability even though it does not directly contribute to SDG 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b/>
          <w:sz w:val="24"/>
          <w:szCs w:val="24"/>
          <w:lang w:val="en-US"/>
        </w:rPr>
        <w:lastRenderedPageBreak/>
        <w:t>Sector-specific Intersecting Solutions:</w:t>
      </w:r>
      <w:r w:rsidRPr="00581ED7">
        <w:rPr>
          <w:rFonts w:ascii="Times New Roman" w:hAnsi="Times New Roman" w:cs="Times New Roman"/>
          <w:sz w:val="24"/>
          <w:szCs w:val="24"/>
          <w:lang w:val="en-US"/>
        </w:rPr>
        <w:t> This aspect emphasizes the technology's capacity to offer solutions customized to particular urban problems in a variety of industries. Intersecting solutions can solve particular urban concerns, even when they don't directly contribute to SDG 11.1 directly.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Combining these attributes results in the MBGC-Digester patent, which introduces a novel technology with significant implications for SDG 11.1 realization. This breakthrough, with its creative design, biological complexity, and precise engineering procedures, is at the forefront of the race to provide affordable, secure, and sustainable housing for everyone.</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b/>
          <w:sz w:val="24"/>
          <w:szCs w:val="24"/>
          <w:u w:val="single"/>
          <w:lang w:val="en-US"/>
        </w:rPr>
      </w:pPr>
    </w:p>
    <w:p w:rsidR="00635369" w:rsidRDefault="00635369">
      <w:pPr>
        <w:rPr>
          <w:b/>
          <w:lang w:val="en-US"/>
        </w:rPr>
      </w:pPr>
      <w:r>
        <w:rPr>
          <w:b/>
          <w:lang w:val="en-US"/>
        </w:rPr>
        <w:br w:type="page"/>
      </w:r>
    </w:p>
    <w:p w:rsidR="00581ED7" w:rsidRPr="00635369" w:rsidRDefault="00581ED7" w:rsidP="00635369">
      <w:pPr>
        <w:pStyle w:val="Titolo1"/>
        <w:rPr>
          <w:lang w:val="en-US"/>
        </w:rPr>
      </w:pPr>
      <w:bookmarkStart w:id="3" w:name="_Toc150285332"/>
      <w:r w:rsidRPr="00581ED7">
        <w:rPr>
          <w:lang w:val="en-US"/>
        </w:rPr>
        <w:lastRenderedPageBreak/>
        <w:t>Revolutionizing Energy - Unveiling the MBGC-Digester Patent: A Sustainable Bio Gas Breakthrough!</w:t>
      </w:r>
      <w:bookmarkEnd w:id="3"/>
    </w:p>
    <w:p w:rsidR="00635369" w:rsidRDefault="00635369" w:rsidP="00BA7002">
      <w:pPr>
        <w:jc w:val="both"/>
        <w:rPr>
          <w:rFonts w:ascii="Times New Roman" w:hAnsi="Times New Roman" w:cs="Times New Roman"/>
          <w:b/>
          <w:sz w:val="24"/>
          <w:szCs w:val="24"/>
          <w:lang w:val="en-US"/>
        </w:rPr>
      </w:pP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MBGC and SDG11.1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Innovative solutions are essential to ensuring sustainable, livable cities in the face of the problems posed by the rapid urbanization trend. One such innovative technology that shows promise in achieving Sustainable Development Goal (SDG) 11.1 is the Mini Bio Gas Continuous (MBGC) system. In metropolitan settings, this goal aims to guarantee that everyone has access to essential services and decent, safe, and affordable housing.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selective extraction of organic matrices, optimal resource utilization, and waste minimization of MBGC technology are its distinguishing features. This feature easily aligns with the goals of SDG 11.1 by directly addressing the issues associated with urban trash management. The MBGC system reduces the environmental impact of urban organic waste, promoting a cleaner and more sustainable urban environment by effectively identifying and recovering organic components from a variety of waste streams.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A key component of the MBGC technology is resource efficiency, which is essential to reaching SDG 11.1. By optimizing the use of existing resources, the technology makes sure that the energy potential of organic waste is fully realized. The MBGC system not only meets energy needs but also lessens the burden on conventional energy supplies by turning organic matter into valuable biogas, opening the door for more robust and sustainable urban infrastructure.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MBGC technology's gravimetric separation characteristic has important ramifications for urban garbage management. By precisely separating the constituents according to their weight, this technique improves the production of biogas. Through optimization of the extraction and conversion procedure, the technology reduces resource loss and increases the effectiveness of waste-to-energy projects.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The MBGC system's biological facilitation serves as an example of how natural processes might be included into initiatives for urban sustainability. The method speeds up the breakdown of organic materials and increases the production of biogas by utilizing the power of microorganisms. This biological method supports SDG 11.1's recommendations for sustainable urban </w:t>
      </w:r>
      <w:r w:rsidRPr="00581ED7">
        <w:rPr>
          <w:rFonts w:ascii="Times New Roman" w:hAnsi="Times New Roman" w:cs="Times New Roman"/>
          <w:sz w:val="24"/>
          <w:szCs w:val="24"/>
          <w:lang w:val="en-US"/>
        </w:rPr>
        <w:lastRenderedPageBreak/>
        <w:t>development while also highlighting the technology's environmental friendliness.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targeted recovery of water resources using MBGC technology adds to the larger story of urban sustainability. Reusing and recovering water resources from the biogas generation process shows how to manage resources holistically, reducing waste and preserving essential resources in metropolitan areas.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MBGC technology is highly relevant internationally and makes a large global contribution towards SDG 11.1. Global urbanization is accelerating, making sustainable and accessible housing—as well as basic services—ever more necessary. The MBGC technology advances the global goal of SDG 11.1 by providing a scalable and repeatable solution to urban sustainability concerns across geographic boundaries.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To sum up, the MBGC technology is a game-changer in the fight for SDG 11.1 because of its novel method to producing sustainable biogas. The technique tackles the intricate problems of urban sustainability through focused recovery of water resources, biological facilitation, resource efficiency, selective extraction procedures, and gravimetric separation. Furthermore, its global significance highlights its ability to act as a catalyst for positive change in metropolitan areas across the globe. </w:t>
      </w:r>
      <w:r w:rsidRPr="00581ED7">
        <w:rPr>
          <w:rFonts w:ascii="Times New Roman" w:hAnsi="Times New Roman" w:cs="Times New Roman"/>
          <w:sz w:val="24"/>
          <w:szCs w:val="24"/>
          <w:lang w:val="en-US"/>
        </w:rPr>
        <w:lastRenderedPageBreak/>
        <w:t>The MBGC technology has the potential to completely transform urban sustainability as cities struggle to meet the needs of the future. This will help us get closer to achieving SDG 11.1's goal of universally cheap, safe, and accessible urban living.</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Innovations contributes to achieving SDG11.1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Let's delve deeper into how the innovation of the Mini Bio Gas Continuous (MBGC) technology contributes to the realization of SDG 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Cost-effectiveness and resource efficiency: By producing lucrative biogas from organic waste, the MBGC technology makes the most of its useful life. This procedure reduces the requirement for conventional, frequently expensive energy resources while also producing a green energy source. The objective of SDG 11.1 is to guarantee access to affordable housing and essential services, and thus enhanced resource efficiency directly translates into more inexpensive energy solutions for urban residents.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Mitigation of Ecological Effects: The environmental effect of disposing of garbage is greatly decreased by MBGC's effective conversion of organic waste into biogas. As part of this, greenhouse gas emissions will be decreased, which will lessen the strain on urban ecosystems. By </w:t>
      </w:r>
      <w:r w:rsidRPr="00581ED7">
        <w:rPr>
          <w:rFonts w:ascii="Times New Roman" w:hAnsi="Times New Roman" w:cs="Times New Roman"/>
          <w:sz w:val="24"/>
          <w:szCs w:val="24"/>
          <w:lang w:val="en-US"/>
        </w:rPr>
        <w:lastRenderedPageBreak/>
        <w:t>encouraging safer and cleaner living circumstances, this supports SDG 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Both accessibility and scalability: Regardless of size or unique problems, MBGC can be implemented in a variety of urban situations due to its customizable nature. Because of its scalability, the technology can be advantageous to communities with varying sizes and resource availability. Ensuring that everyone has access to essential services and decent, safe, and affordable housing is the aim of SDG 11.1, which is supported by this inclusion.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Encouraging the Circular Economy: The MBGC system turns garbage into a useful resource, embodying the ideas of a circular economy. This closed-loop method optimizes resource use while reducing waste production. This supports sustainable resource management in urban areas, which is in line with SDG 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Strengthening Groups: Local communities can be strengthened by the use of MBGC technology since it gives them a dependable and sustainable energy supply. In addition to supporting the goals of SDG 11.1, this also promotes community self-sufficiency and resilience.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Reducing Energy Insecurity: It's still difficult to get dependable and reasonably priced energy services in many cities. This problem is addressed by the MBGC </w:t>
      </w:r>
      <w:r w:rsidRPr="00581ED7">
        <w:rPr>
          <w:rFonts w:ascii="Times New Roman" w:hAnsi="Times New Roman" w:cs="Times New Roman"/>
          <w:sz w:val="24"/>
          <w:szCs w:val="24"/>
          <w:lang w:val="en-US"/>
        </w:rPr>
        <w:lastRenderedPageBreak/>
        <w:t>technology, which offers a sustainable energy source that can be produced locally. This lessens energy poverty and directly advances the objective of SDG 11.1, which is to guarantee access to essential services.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Worldwide Pertinence and Information Exchange: The potential for global use of MBGC technology renders it a valuable solution for urban regions across the globe. International sharing of its success tales and best practises encourages cross-border cooperation and knowledge exchange. The achievement of SDG 11.1 is supported globally by its international relevance.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Resistance to the Challenges of Urbanization: The increasing demand for housing and services that comes with rapid urbanization frequently strains available resources. Long-term resilience and stability in metropolitan environments are enhanced by the sustainable solution offered by MBGC technology, which can also be tailored to meet changing needs in the area.</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In summary, the innovation of the MBGC technology goes beyond traditional waste management techniques. It solves important issues related to urban sustainability and generates renewable energy by utilizing the potential of organic waste. Its contributions to SDG 11.1 are diverse and include everything from ensuring safe and affordable housing and electricity to encouraging resource efficiency </w:t>
      </w:r>
      <w:r w:rsidRPr="00581ED7">
        <w:rPr>
          <w:rFonts w:ascii="Times New Roman" w:hAnsi="Times New Roman" w:cs="Times New Roman"/>
          <w:sz w:val="24"/>
          <w:szCs w:val="24"/>
          <w:lang w:val="en-US"/>
        </w:rPr>
        <w:lastRenderedPageBreak/>
        <w:t>and environmental stewardship. By this invention, MBGC serves as an example of how technical progress may be used to build more resilient, inclusive, and sustainable urban environments—thus contributing to the worldwide achievement of SDG 11.1 goals.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In-depth analysis of the MBGC - Digester Patent and SDG11.1</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Title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Method for Anaerobic Digestion and Device for Using Said Method</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Abstract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technique and equipment for extracting methane, carbon dioxide, NPK salts, and clarified water from organic matrices that are breaking down are described in the patent. These components serve as essential starting points for numerous industrial processes.</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Description</w:t>
      </w:r>
    </w:p>
    <w:p w:rsidR="00581ED7" w:rsidRPr="00581ED7" w:rsidRDefault="00581ED7" w:rsidP="00BA7002">
      <w:pPr>
        <w:jc w:val="both"/>
        <w:rPr>
          <w:rFonts w:ascii="Times New Roman" w:hAnsi="Times New Roman" w:cs="Times New Roman"/>
          <w:color w:val="000000"/>
          <w:sz w:val="24"/>
          <w:szCs w:val="24"/>
          <w:shd w:val="clear" w:color="auto" w:fill="FFFFFF"/>
          <w:lang w:val="en-US"/>
        </w:rPr>
      </w:pPr>
      <w:r w:rsidRPr="00581ED7">
        <w:rPr>
          <w:rFonts w:ascii="Times New Roman" w:hAnsi="Times New Roman" w:cs="Times New Roman"/>
          <w:color w:val="000000"/>
          <w:sz w:val="24"/>
          <w:szCs w:val="24"/>
          <w:shd w:val="clear" w:color="auto" w:fill="FFFFFF"/>
          <w:lang w:val="en-US"/>
        </w:rPr>
        <w:t xml:space="preserve">The description </w:t>
      </w:r>
      <w:r w:rsidRPr="00581ED7">
        <w:rPr>
          <w:rFonts w:ascii="Times New Roman" w:hAnsi="Times New Roman" w:cs="Times New Roman"/>
          <w:bCs/>
          <w:color w:val="000000"/>
          <w:sz w:val="24"/>
          <w:szCs w:val="24"/>
          <w:shd w:val="clear" w:color="auto" w:fill="FFFFFF"/>
          <w:lang w:val="en-US"/>
        </w:rPr>
        <w:t>gives</w:t>
      </w:r>
      <w:r w:rsidRPr="00581ED7">
        <w:rPr>
          <w:rFonts w:ascii="Times New Roman" w:hAnsi="Times New Roman" w:cs="Times New Roman"/>
          <w:color w:val="000000"/>
          <w:sz w:val="24"/>
          <w:szCs w:val="24"/>
          <w:shd w:val="clear" w:color="auto" w:fill="FFFFFF"/>
          <w:lang w:val="en-US"/>
        </w:rPr>
        <w:t xml:space="preserve"> a detailed </w:t>
      </w:r>
      <w:r w:rsidRPr="00581ED7">
        <w:rPr>
          <w:rFonts w:ascii="Times New Roman" w:hAnsi="Times New Roman" w:cs="Times New Roman"/>
          <w:bCs/>
          <w:color w:val="000000"/>
          <w:sz w:val="24"/>
          <w:szCs w:val="24"/>
          <w:shd w:val="clear" w:color="auto" w:fill="FFFFFF"/>
          <w:lang w:val="en-US"/>
        </w:rPr>
        <w:t>overview</w:t>
      </w:r>
      <w:r w:rsidRPr="00581ED7">
        <w:rPr>
          <w:rFonts w:ascii="Times New Roman" w:hAnsi="Times New Roman" w:cs="Times New Roman"/>
          <w:color w:val="000000"/>
          <w:sz w:val="24"/>
          <w:szCs w:val="24"/>
          <w:shd w:val="clear" w:color="auto" w:fill="FFFFFF"/>
          <w:lang w:val="en-US"/>
        </w:rPr>
        <w:t xml:space="preserve"> of the entire process and </w:t>
      </w:r>
      <w:r w:rsidRPr="00581ED7">
        <w:rPr>
          <w:rFonts w:ascii="Times New Roman" w:hAnsi="Times New Roman" w:cs="Times New Roman"/>
          <w:bCs/>
          <w:color w:val="000000"/>
          <w:sz w:val="24"/>
          <w:szCs w:val="24"/>
          <w:shd w:val="clear" w:color="auto" w:fill="FFFFFF"/>
          <w:lang w:val="en-US"/>
        </w:rPr>
        <w:t>associated equipment.</w:t>
      </w:r>
      <w:r w:rsidRPr="00581ED7">
        <w:rPr>
          <w:rFonts w:ascii="Times New Roman" w:hAnsi="Times New Roman" w:cs="Times New Roman"/>
          <w:color w:val="000000"/>
          <w:sz w:val="24"/>
          <w:szCs w:val="24"/>
          <w:shd w:val="clear" w:color="auto" w:fill="FFFFFF"/>
          <w:lang w:val="en-US"/>
        </w:rPr>
        <w:t xml:space="preserve"> It delves into the execution of each </w:t>
      </w:r>
      <w:r w:rsidRPr="00581ED7">
        <w:rPr>
          <w:rFonts w:ascii="Times New Roman" w:hAnsi="Times New Roman" w:cs="Times New Roman"/>
          <w:bCs/>
          <w:color w:val="000000"/>
          <w:sz w:val="24"/>
          <w:szCs w:val="24"/>
          <w:shd w:val="clear" w:color="auto" w:fill="FFFFFF"/>
          <w:lang w:val="en-US"/>
        </w:rPr>
        <w:t>step and highlights</w:t>
      </w:r>
      <w:r w:rsidRPr="00581ED7">
        <w:rPr>
          <w:rFonts w:ascii="Times New Roman" w:hAnsi="Times New Roman" w:cs="Times New Roman"/>
          <w:color w:val="000000"/>
          <w:sz w:val="24"/>
          <w:szCs w:val="24"/>
          <w:shd w:val="clear" w:color="auto" w:fill="FFFFFF"/>
          <w:lang w:val="en-US"/>
        </w:rPr>
        <w:t xml:space="preserve"> the critical biological processes </w:t>
      </w:r>
      <w:r w:rsidRPr="00581ED7">
        <w:rPr>
          <w:rFonts w:ascii="Times New Roman" w:hAnsi="Times New Roman" w:cs="Times New Roman"/>
          <w:bCs/>
          <w:color w:val="000000"/>
          <w:sz w:val="24"/>
          <w:szCs w:val="24"/>
          <w:shd w:val="clear" w:color="auto" w:fill="FFFFFF"/>
          <w:lang w:val="en-US"/>
        </w:rPr>
        <w:t>to which</w:t>
      </w:r>
      <w:r w:rsidRPr="00581ED7">
        <w:rPr>
          <w:rFonts w:ascii="Times New Roman" w:hAnsi="Times New Roman" w:cs="Times New Roman"/>
          <w:color w:val="000000"/>
          <w:sz w:val="24"/>
          <w:szCs w:val="24"/>
          <w:shd w:val="clear" w:color="auto" w:fill="FFFFFF"/>
          <w:lang w:val="en-US"/>
        </w:rPr>
        <w:t xml:space="preserve"> specific </w:t>
      </w:r>
      <w:r w:rsidRPr="00581ED7">
        <w:rPr>
          <w:rFonts w:ascii="Times New Roman" w:hAnsi="Times New Roman" w:cs="Times New Roman"/>
          <w:bCs/>
          <w:color w:val="000000"/>
          <w:sz w:val="24"/>
          <w:szCs w:val="24"/>
          <w:shd w:val="clear" w:color="auto" w:fill="FFFFFF"/>
          <w:lang w:val="en-US"/>
        </w:rPr>
        <w:t>microorganisms contribute.</w:t>
      </w:r>
    </w:p>
    <w:p w:rsidR="00581ED7" w:rsidRPr="00581ED7" w:rsidRDefault="00581ED7" w:rsidP="00BA7002">
      <w:pPr>
        <w:jc w:val="both"/>
        <w:rPr>
          <w:rFonts w:ascii="Times New Roman" w:hAnsi="Times New Roman" w:cs="Times New Roman"/>
          <w:color w:val="000000"/>
          <w:sz w:val="24"/>
          <w:szCs w:val="24"/>
          <w:shd w:val="clear" w:color="auto" w:fill="FFFFFF"/>
          <w:lang w:val="en-US"/>
        </w:rPr>
      </w:pPr>
      <w:r w:rsidRPr="00581ED7">
        <w:rPr>
          <w:rFonts w:ascii="Times New Roman" w:hAnsi="Times New Roman" w:cs="Times New Roman"/>
          <w:b/>
          <w:color w:val="000000"/>
          <w:sz w:val="24"/>
          <w:szCs w:val="24"/>
          <w:shd w:val="clear" w:color="auto" w:fill="FFFFFF"/>
          <w:lang w:val="en-US"/>
        </w:rPr>
        <w:lastRenderedPageBreak/>
        <w:t xml:space="preserve">Hydrolytic </w:t>
      </w:r>
      <w:r w:rsidRPr="00581ED7">
        <w:rPr>
          <w:rFonts w:ascii="Times New Roman" w:hAnsi="Times New Roman" w:cs="Times New Roman"/>
          <w:b/>
          <w:bCs/>
          <w:color w:val="000000"/>
          <w:sz w:val="24"/>
          <w:szCs w:val="24"/>
          <w:shd w:val="clear" w:color="auto" w:fill="FFFFFF"/>
          <w:lang w:val="en-US"/>
        </w:rPr>
        <w:t>Stage:</w:t>
      </w:r>
      <w:r w:rsidRPr="00581ED7">
        <w:rPr>
          <w:rFonts w:ascii="Times New Roman" w:hAnsi="Times New Roman" w:cs="Times New Roman"/>
          <w:color w:val="000000"/>
          <w:sz w:val="24"/>
          <w:szCs w:val="24"/>
          <w:shd w:val="clear" w:color="auto" w:fill="FFFFFF"/>
          <w:lang w:val="en-US"/>
        </w:rPr>
        <w:t xml:space="preserve"> In this first phase, water facilitates the cleavage process by hydration. This prepares the body for the next round of metabolic reactions. In this phase, water molecules are added to organic substances to break them down into simpler molecules. This crucial stage sets off the breakdown process and gets the organic matrix ready for further stages of the procedure. </w:t>
      </w:r>
    </w:p>
    <w:p w:rsidR="00581ED7" w:rsidRPr="00640522" w:rsidRDefault="00581ED7" w:rsidP="00BA7002">
      <w:pPr>
        <w:pStyle w:val="Paragrafoelenco"/>
        <w:numPr>
          <w:ilvl w:val="0"/>
          <w:numId w:val="10"/>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t>Biological Reactions: During this stage of the reaction, hydrolytic bacteria release enzymes that are crucial. These enzymes break down complex organic materials into simpler molecules like sugars, amino acids, and fatty acids. Complex organic materials include proteins, carbs, and lipids.</w:t>
      </w:r>
    </w:p>
    <w:p w:rsidR="00581ED7" w:rsidRPr="00640522" w:rsidRDefault="00581ED7" w:rsidP="00BA7002">
      <w:pPr>
        <w:pStyle w:val="Paragrafoelenco"/>
        <w:numPr>
          <w:ilvl w:val="0"/>
          <w:numId w:val="10"/>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t>Microbial Species: The most prevalent microbial species during this phase are hydrolytic bacteria including Clostridium, Bacteroides, and Proteobacteria. There is a large range of hydrolytic enzymes that these bacteria can make.</w:t>
      </w:r>
    </w:p>
    <w:p w:rsidR="00581ED7" w:rsidRPr="00640522" w:rsidRDefault="00581ED7" w:rsidP="00BA7002">
      <w:pPr>
        <w:pStyle w:val="Paragrafoelenco"/>
        <w:numPr>
          <w:ilvl w:val="0"/>
          <w:numId w:val="10"/>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t>Chemical Transformations:Chemical transformations include the hydrolysis of starches into glucose molecules, the breakdown of proteins into amino acids, and the conversion of lipids into glycerol and fatty acids.</w:t>
      </w:r>
    </w:p>
    <w:p w:rsidR="00581ED7" w:rsidRPr="00581ED7" w:rsidRDefault="00581ED7" w:rsidP="00BA7002">
      <w:pPr>
        <w:jc w:val="both"/>
        <w:rPr>
          <w:rFonts w:ascii="Times New Roman" w:hAnsi="Times New Roman" w:cs="Times New Roman"/>
          <w:bCs/>
          <w:color w:val="000000"/>
          <w:sz w:val="24"/>
          <w:szCs w:val="24"/>
          <w:shd w:val="clear" w:color="auto" w:fill="FFFFFF"/>
          <w:lang w:val="en-US"/>
        </w:rPr>
      </w:pPr>
      <w:r w:rsidRPr="00581ED7">
        <w:rPr>
          <w:rFonts w:ascii="Times New Roman" w:hAnsi="Times New Roman" w:cs="Times New Roman"/>
          <w:b/>
          <w:bCs/>
          <w:color w:val="000000"/>
          <w:sz w:val="24"/>
          <w:szCs w:val="24"/>
          <w:shd w:val="clear" w:color="auto" w:fill="FFFFFF"/>
          <w:lang w:val="en-US"/>
        </w:rPr>
        <w:lastRenderedPageBreak/>
        <w:t>Acidogenesis Phase:</w:t>
      </w:r>
      <w:r w:rsidRPr="00581ED7">
        <w:rPr>
          <w:rFonts w:ascii="Times New Roman" w:hAnsi="Times New Roman" w:cs="Times New Roman"/>
          <w:color w:val="000000"/>
          <w:sz w:val="24"/>
          <w:szCs w:val="24"/>
          <w:shd w:val="clear" w:color="auto" w:fill="FFFFFF"/>
          <w:lang w:val="en-US"/>
        </w:rPr>
        <w:t xml:space="preserve"> Triggered by </w:t>
      </w:r>
      <w:r w:rsidRPr="00581ED7">
        <w:rPr>
          <w:rFonts w:ascii="Times New Roman" w:hAnsi="Times New Roman" w:cs="Times New Roman"/>
          <w:bCs/>
          <w:color w:val="000000"/>
          <w:sz w:val="24"/>
          <w:szCs w:val="24"/>
          <w:shd w:val="clear" w:color="auto" w:fill="FFFFFF"/>
          <w:lang w:val="en-US"/>
        </w:rPr>
        <w:t>certain</w:t>
      </w:r>
      <w:r w:rsidRPr="00581ED7">
        <w:rPr>
          <w:rFonts w:ascii="Times New Roman" w:hAnsi="Times New Roman" w:cs="Times New Roman"/>
          <w:color w:val="000000"/>
          <w:sz w:val="24"/>
          <w:szCs w:val="24"/>
          <w:shd w:val="clear" w:color="auto" w:fill="FFFFFF"/>
          <w:lang w:val="en-US"/>
        </w:rPr>
        <w:t xml:space="preserve"> bacterial strains, </w:t>
      </w:r>
      <w:r w:rsidRPr="00581ED7">
        <w:rPr>
          <w:rFonts w:ascii="Times New Roman" w:hAnsi="Times New Roman" w:cs="Times New Roman"/>
          <w:bCs/>
          <w:color w:val="000000"/>
          <w:sz w:val="24"/>
          <w:szCs w:val="24"/>
          <w:shd w:val="clear" w:color="auto" w:fill="FFFFFF"/>
          <w:lang w:val="en-US"/>
        </w:rPr>
        <w:t>the</w:t>
      </w:r>
      <w:r w:rsidRPr="00581ED7">
        <w:rPr>
          <w:rFonts w:ascii="Times New Roman" w:hAnsi="Times New Roman" w:cs="Times New Roman"/>
          <w:color w:val="000000"/>
          <w:sz w:val="24"/>
          <w:szCs w:val="24"/>
          <w:shd w:val="clear" w:color="auto" w:fill="FFFFFF"/>
          <w:lang w:val="en-US"/>
        </w:rPr>
        <w:t xml:space="preserve"> phase breaks down organic </w:t>
      </w:r>
      <w:r w:rsidRPr="00581ED7">
        <w:rPr>
          <w:rFonts w:ascii="Times New Roman" w:hAnsi="Times New Roman" w:cs="Times New Roman"/>
          <w:bCs/>
          <w:color w:val="000000"/>
          <w:sz w:val="24"/>
          <w:szCs w:val="24"/>
          <w:shd w:val="clear" w:color="auto" w:fill="FFFFFF"/>
          <w:lang w:val="en-US"/>
        </w:rPr>
        <w:t>matter further,</w:t>
      </w:r>
      <w:r w:rsidRPr="00581ED7">
        <w:rPr>
          <w:rFonts w:ascii="Times New Roman" w:hAnsi="Times New Roman" w:cs="Times New Roman"/>
          <w:color w:val="000000"/>
          <w:sz w:val="24"/>
          <w:szCs w:val="24"/>
          <w:shd w:val="clear" w:color="auto" w:fill="FFFFFF"/>
          <w:lang w:val="en-US"/>
        </w:rPr>
        <w:t xml:space="preserve"> releasing essential components. Acidogenic bacteria play a </w:t>
      </w:r>
      <w:r w:rsidRPr="00581ED7">
        <w:rPr>
          <w:rFonts w:ascii="Times New Roman" w:hAnsi="Times New Roman" w:cs="Times New Roman"/>
          <w:bCs/>
          <w:color w:val="000000"/>
          <w:sz w:val="24"/>
          <w:szCs w:val="24"/>
          <w:shd w:val="clear" w:color="auto" w:fill="FFFFFF"/>
          <w:lang w:val="en-US"/>
        </w:rPr>
        <w:t>key</w:t>
      </w:r>
      <w:r w:rsidRPr="00581ED7">
        <w:rPr>
          <w:rFonts w:ascii="Times New Roman" w:hAnsi="Times New Roman" w:cs="Times New Roman"/>
          <w:color w:val="000000"/>
          <w:sz w:val="24"/>
          <w:szCs w:val="24"/>
          <w:shd w:val="clear" w:color="auto" w:fill="FFFFFF"/>
          <w:lang w:val="en-US"/>
        </w:rPr>
        <w:t xml:space="preserve"> role in this </w:t>
      </w:r>
      <w:r w:rsidRPr="00581ED7">
        <w:rPr>
          <w:rFonts w:ascii="Times New Roman" w:hAnsi="Times New Roman" w:cs="Times New Roman"/>
          <w:bCs/>
          <w:color w:val="000000"/>
          <w:sz w:val="24"/>
          <w:szCs w:val="24"/>
          <w:shd w:val="clear" w:color="auto" w:fill="FFFFFF"/>
          <w:lang w:val="en-US"/>
        </w:rPr>
        <w:t>step, as they transform</w:t>
      </w:r>
      <w:r w:rsidRPr="00581ED7">
        <w:rPr>
          <w:rFonts w:ascii="Times New Roman" w:hAnsi="Times New Roman" w:cs="Times New Roman"/>
          <w:color w:val="000000"/>
          <w:sz w:val="24"/>
          <w:szCs w:val="24"/>
          <w:shd w:val="clear" w:color="auto" w:fill="FFFFFF"/>
          <w:lang w:val="en-US"/>
        </w:rPr>
        <w:t xml:space="preserve"> the simpler molecules </w:t>
      </w:r>
      <w:r w:rsidRPr="00581ED7">
        <w:rPr>
          <w:rFonts w:ascii="Times New Roman" w:hAnsi="Times New Roman" w:cs="Times New Roman"/>
          <w:bCs/>
          <w:color w:val="000000"/>
          <w:sz w:val="24"/>
          <w:szCs w:val="24"/>
          <w:shd w:val="clear" w:color="auto" w:fill="FFFFFF"/>
          <w:lang w:val="en-US"/>
        </w:rPr>
        <w:t>of</w:t>
      </w:r>
      <w:r w:rsidRPr="00581ED7">
        <w:rPr>
          <w:rFonts w:ascii="Times New Roman" w:hAnsi="Times New Roman" w:cs="Times New Roman"/>
          <w:color w:val="000000"/>
          <w:sz w:val="24"/>
          <w:szCs w:val="24"/>
          <w:shd w:val="clear" w:color="auto" w:fill="FFFFFF"/>
          <w:lang w:val="en-US"/>
        </w:rPr>
        <w:t xml:space="preserve"> the </w:t>
      </w:r>
      <w:r w:rsidRPr="00581ED7">
        <w:rPr>
          <w:rFonts w:ascii="Times New Roman" w:hAnsi="Times New Roman" w:cs="Times New Roman"/>
          <w:bCs/>
          <w:color w:val="000000"/>
          <w:sz w:val="24"/>
          <w:szCs w:val="24"/>
          <w:shd w:val="clear" w:color="auto" w:fill="FFFFFF"/>
          <w:lang w:val="en-US"/>
        </w:rPr>
        <w:t>hydrolysis step</w:t>
      </w:r>
      <w:r w:rsidRPr="00581ED7">
        <w:rPr>
          <w:rFonts w:ascii="Times New Roman" w:hAnsi="Times New Roman" w:cs="Times New Roman"/>
          <w:color w:val="000000"/>
          <w:sz w:val="24"/>
          <w:szCs w:val="24"/>
          <w:shd w:val="clear" w:color="auto" w:fill="FFFFFF"/>
          <w:lang w:val="en-US"/>
        </w:rPr>
        <w:t xml:space="preserve"> into volatile fatty acids </w:t>
      </w:r>
      <w:r w:rsidRPr="00581ED7">
        <w:rPr>
          <w:rFonts w:ascii="Times New Roman" w:hAnsi="Times New Roman" w:cs="Times New Roman"/>
          <w:bCs/>
          <w:color w:val="000000"/>
          <w:sz w:val="24"/>
          <w:szCs w:val="24"/>
          <w:shd w:val="clear" w:color="auto" w:fill="FFFFFF"/>
          <w:lang w:val="en-US"/>
        </w:rPr>
        <w:t>(VFA), hydrogen</w:t>
      </w:r>
      <w:r w:rsidRPr="00581ED7">
        <w:rPr>
          <w:rFonts w:ascii="Times New Roman" w:hAnsi="Times New Roman" w:cs="Times New Roman"/>
          <w:color w:val="000000"/>
          <w:sz w:val="24"/>
          <w:szCs w:val="24"/>
          <w:shd w:val="clear" w:color="auto" w:fill="FFFFFF"/>
          <w:lang w:val="en-US"/>
        </w:rPr>
        <w:t xml:space="preserve"> and ammonia. These products are </w:t>
      </w:r>
      <w:r w:rsidRPr="00581ED7">
        <w:rPr>
          <w:rFonts w:ascii="Times New Roman" w:hAnsi="Times New Roman" w:cs="Times New Roman"/>
          <w:bCs/>
          <w:color w:val="000000"/>
          <w:sz w:val="24"/>
          <w:szCs w:val="24"/>
          <w:shd w:val="clear" w:color="auto" w:fill="FFFFFF"/>
          <w:lang w:val="en-US"/>
        </w:rPr>
        <w:t>important</w:t>
      </w:r>
      <w:r w:rsidRPr="00581ED7">
        <w:rPr>
          <w:rFonts w:ascii="Times New Roman" w:hAnsi="Times New Roman" w:cs="Times New Roman"/>
          <w:color w:val="000000"/>
          <w:sz w:val="24"/>
          <w:szCs w:val="24"/>
          <w:shd w:val="clear" w:color="auto" w:fill="FFFFFF"/>
          <w:lang w:val="en-US"/>
        </w:rPr>
        <w:t xml:space="preserve"> intermediates that </w:t>
      </w:r>
      <w:r w:rsidRPr="00581ED7">
        <w:rPr>
          <w:rFonts w:ascii="Times New Roman" w:hAnsi="Times New Roman" w:cs="Times New Roman"/>
          <w:bCs/>
          <w:color w:val="000000"/>
          <w:sz w:val="24"/>
          <w:szCs w:val="24"/>
          <w:shd w:val="clear" w:color="auto" w:fill="FFFFFF"/>
          <w:lang w:val="en-US"/>
        </w:rPr>
        <w:t>change</w:t>
      </w:r>
      <w:r w:rsidRPr="00581ED7">
        <w:rPr>
          <w:rFonts w:ascii="Times New Roman" w:hAnsi="Times New Roman" w:cs="Times New Roman"/>
          <w:color w:val="000000"/>
          <w:sz w:val="24"/>
          <w:szCs w:val="24"/>
          <w:shd w:val="clear" w:color="auto" w:fill="FFFFFF"/>
          <w:lang w:val="en-US"/>
        </w:rPr>
        <w:t xml:space="preserve"> in </w:t>
      </w:r>
      <w:r w:rsidRPr="00581ED7">
        <w:rPr>
          <w:rFonts w:ascii="Times New Roman" w:hAnsi="Times New Roman" w:cs="Times New Roman"/>
          <w:bCs/>
          <w:color w:val="000000"/>
          <w:sz w:val="24"/>
          <w:szCs w:val="24"/>
          <w:shd w:val="clear" w:color="auto" w:fill="FFFFFF"/>
          <w:lang w:val="en-US"/>
        </w:rPr>
        <w:t>later stages.</w:t>
      </w:r>
    </w:p>
    <w:p w:rsidR="00581ED7" w:rsidRPr="00640522" w:rsidRDefault="00581ED7" w:rsidP="00BA7002">
      <w:pPr>
        <w:pStyle w:val="Paragrafoelenco"/>
        <w:numPr>
          <w:ilvl w:val="0"/>
          <w:numId w:val="6"/>
        </w:numPr>
        <w:jc w:val="both"/>
        <w:rPr>
          <w:rFonts w:ascii="Times New Roman" w:hAnsi="Times New Roman" w:cs="Times New Roman"/>
          <w:sz w:val="24"/>
          <w:szCs w:val="24"/>
        </w:rPr>
      </w:pPr>
      <w:r w:rsidRPr="00640522">
        <w:rPr>
          <w:rFonts w:ascii="Times New Roman" w:hAnsi="Times New Roman" w:cs="Times New Roman"/>
          <w:bCs/>
          <w:color w:val="000000"/>
          <w:sz w:val="24"/>
          <w:szCs w:val="24"/>
          <w:shd w:val="clear" w:color="auto" w:fill="FFFFFF"/>
        </w:rPr>
        <w:t>Biological Reactions:Acidogenic bacteria are essential in this phase of biological reactions. They metabolise simpler chemical molecules, resulting in VFAs and other byproducts.</w:t>
      </w:r>
    </w:p>
    <w:p w:rsidR="00581ED7" w:rsidRPr="00640522" w:rsidRDefault="00581ED7" w:rsidP="00BA7002">
      <w:pPr>
        <w:pStyle w:val="Paragrafoelenco"/>
        <w:numPr>
          <w:ilvl w:val="0"/>
          <w:numId w:val="6"/>
        </w:numPr>
        <w:jc w:val="both"/>
        <w:rPr>
          <w:rFonts w:ascii="Times New Roman" w:hAnsi="Times New Roman" w:cs="Times New Roman"/>
          <w:sz w:val="24"/>
          <w:szCs w:val="24"/>
        </w:rPr>
      </w:pPr>
      <w:r w:rsidRPr="00640522">
        <w:rPr>
          <w:rFonts w:ascii="Times New Roman" w:hAnsi="Times New Roman" w:cs="Times New Roman"/>
          <w:sz w:val="24"/>
          <w:szCs w:val="24"/>
        </w:rPr>
        <w:t>Microbial Species: Notable acidogenic bacteria include Clostridium, Lactobacillus, and Acetobacter. These microorganisms flourish in anaerobic conditions and are capable of creating VFAs.</w:t>
      </w:r>
    </w:p>
    <w:p w:rsidR="00581ED7" w:rsidRPr="00640522" w:rsidRDefault="00581ED7" w:rsidP="00BA7002">
      <w:pPr>
        <w:pStyle w:val="Paragrafoelenco"/>
        <w:numPr>
          <w:ilvl w:val="0"/>
          <w:numId w:val="6"/>
        </w:numPr>
        <w:jc w:val="both"/>
        <w:rPr>
          <w:rFonts w:ascii="Times New Roman" w:hAnsi="Times New Roman" w:cs="Times New Roman"/>
          <w:sz w:val="24"/>
          <w:szCs w:val="24"/>
        </w:rPr>
      </w:pPr>
      <w:r w:rsidRPr="00640522">
        <w:rPr>
          <w:rFonts w:ascii="Times New Roman" w:hAnsi="Times New Roman" w:cs="Times New Roman"/>
          <w:sz w:val="24"/>
          <w:szCs w:val="24"/>
        </w:rPr>
        <w:t>Chemical Transformations: Glucose and amino acids, for example, are transformed into acetic acid, propionic acid, butyric acid, and other VFAs by chemical transformations.</w:t>
      </w:r>
    </w:p>
    <w:p w:rsidR="00581ED7" w:rsidRPr="00581ED7" w:rsidRDefault="00581ED7" w:rsidP="00BA7002">
      <w:pPr>
        <w:jc w:val="both"/>
        <w:rPr>
          <w:rFonts w:ascii="Times New Roman" w:hAnsi="Times New Roman" w:cs="Times New Roman"/>
          <w:color w:val="000000"/>
          <w:sz w:val="24"/>
          <w:szCs w:val="24"/>
          <w:shd w:val="clear" w:color="auto" w:fill="FFFFFF"/>
          <w:lang w:val="en-US"/>
        </w:rPr>
      </w:pPr>
      <w:r w:rsidRPr="00581ED7">
        <w:rPr>
          <w:rFonts w:ascii="Times New Roman" w:hAnsi="Times New Roman" w:cs="Times New Roman"/>
          <w:b/>
          <w:bCs/>
          <w:color w:val="000000"/>
          <w:sz w:val="24"/>
          <w:szCs w:val="24"/>
          <w:shd w:val="clear" w:color="auto" w:fill="FFFFFF"/>
          <w:lang w:val="en-US"/>
        </w:rPr>
        <w:t>Stage</w:t>
      </w:r>
      <w:r w:rsidRPr="00581ED7">
        <w:rPr>
          <w:rFonts w:ascii="Times New Roman" w:hAnsi="Times New Roman" w:cs="Times New Roman"/>
          <w:b/>
          <w:color w:val="000000"/>
          <w:sz w:val="24"/>
          <w:szCs w:val="24"/>
          <w:shd w:val="clear" w:color="auto" w:fill="FFFFFF"/>
          <w:lang w:val="en-US"/>
        </w:rPr>
        <w:t xml:space="preserve"> of </w:t>
      </w:r>
      <w:r w:rsidRPr="00581ED7">
        <w:rPr>
          <w:rFonts w:ascii="Times New Roman" w:hAnsi="Times New Roman" w:cs="Times New Roman"/>
          <w:b/>
          <w:bCs/>
          <w:color w:val="000000"/>
          <w:sz w:val="24"/>
          <w:szCs w:val="24"/>
          <w:shd w:val="clear" w:color="auto" w:fill="FFFFFF"/>
          <w:lang w:val="en-US"/>
        </w:rPr>
        <w:t>acetogenesis:</w:t>
      </w:r>
      <w:r w:rsidRPr="00581ED7">
        <w:rPr>
          <w:rFonts w:ascii="Times New Roman" w:hAnsi="Times New Roman" w:cs="Times New Roman"/>
          <w:bCs/>
          <w:color w:val="000000"/>
          <w:sz w:val="24"/>
          <w:szCs w:val="24"/>
          <w:shd w:val="clear" w:color="auto" w:fill="FFFFFF"/>
          <w:lang w:val="en-US"/>
        </w:rPr>
        <w:t xml:space="preserve"> As in</w:t>
      </w:r>
      <w:r w:rsidRPr="00581ED7">
        <w:rPr>
          <w:rFonts w:ascii="Times New Roman" w:hAnsi="Times New Roman" w:cs="Times New Roman"/>
          <w:color w:val="000000"/>
          <w:sz w:val="24"/>
          <w:szCs w:val="24"/>
          <w:shd w:val="clear" w:color="auto" w:fill="FFFFFF"/>
          <w:lang w:val="en-US"/>
        </w:rPr>
        <w:t xml:space="preserve"> the </w:t>
      </w:r>
      <w:r w:rsidRPr="00581ED7">
        <w:rPr>
          <w:rFonts w:ascii="Times New Roman" w:hAnsi="Times New Roman" w:cs="Times New Roman"/>
          <w:bCs/>
          <w:color w:val="000000"/>
          <w:sz w:val="24"/>
          <w:szCs w:val="24"/>
          <w:shd w:val="clear" w:color="auto" w:fill="FFFFFF"/>
          <w:lang w:val="en-US"/>
        </w:rPr>
        <w:t>stage of acidogenesis,</w:t>
      </w:r>
      <w:r w:rsidRPr="00581ED7">
        <w:rPr>
          <w:rFonts w:ascii="Times New Roman" w:hAnsi="Times New Roman" w:cs="Times New Roman"/>
          <w:color w:val="000000"/>
          <w:sz w:val="24"/>
          <w:szCs w:val="24"/>
          <w:shd w:val="clear" w:color="auto" w:fill="FFFFFF"/>
          <w:lang w:val="en-US"/>
        </w:rPr>
        <w:t xml:space="preserve"> this stage is catalyzed by </w:t>
      </w:r>
      <w:r w:rsidRPr="00581ED7">
        <w:rPr>
          <w:rFonts w:ascii="Times New Roman" w:hAnsi="Times New Roman" w:cs="Times New Roman"/>
          <w:bCs/>
          <w:color w:val="000000"/>
          <w:sz w:val="24"/>
          <w:szCs w:val="24"/>
          <w:shd w:val="clear" w:color="auto" w:fill="FFFFFF"/>
          <w:lang w:val="en-US"/>
        </w:rPr>
        <w:t>some microorganisms that promote</w:t>
      </w:r>
      <w:r w:rsidRPr="00581ED7">
        <w:rPr>
          <w:rFonts w:ascii="Times New Roman" w:hAnsi="Times New Roman" w:cs="Times New Roman"/>
          <w:color w:val="000000"/>
          <w:sz w:val="24"/>
          <w:szCs w:val="24"/>
          <w:shd w:val="clear" w:color="auto" w:fill="FFFFFF"/>
          <w:lang w:val="en-US"/>
        </w:rPr>
        <w:t xml:space="preserve"> the decomposition process. Acetogenic bacteria are </w:t>
      </w:r>
      <w:r w:rsidRPr="00581ED7">
        <w:rPr>
          <w:rFonts w:ascii="Times New Roman" w:hAnsi="Times New Roman" w:cs="Times New Roman"/>
          <w:bCs/>
          <w:color w:val="000000"/>
          <w:sz w:val="24"/>
          <w:szCs w:val="24"/>
          <w:shd w:val="clear" w:color="auto" w:fill="FFFFFF"/>
          <w:lang w:val="en-US"/>
        </w:rPr>
        <w:t>important</w:t>
      </w:r>
      <w:r w:rsidRPr="00581ED7">
        <w:rPr>
          <w:rFonts w:ascii="Times New Roman" w:hAnsi="Times New Roman" w:cs="Times New Roman"/>
          <w:color w:val="000000"/>
          <w:sz w:val="24"/>
          <w:szCs w:val="24"/>
          <w:shd w:val="clear" w:color="auto" w:fill="FFFFFF"/>
          <w:lang w:val="en-US"/>
        </w:rPr>
        <w:t xml:space="preserve"> in converting VFAs produced </w:t>
      </w:r>
      <w:r w:rsidRPr="00581ED7">
        <w:rPr>
          <w:rFonts w:ascii="Times New Roman" w:hAnsi="Times New Roman" w:cs="Times New Roman"/>
          <w:bCs/>
          <w:color w:val="000000"/>
          <w:sz w:val="24"/>
          <w:szCs w:val="24"/>
          <w:shd w:val="clear" w:color="auto" w:fill="FFFFFF"/>
          <w:lang w:val="en-US"/>
        </w:rPr>
        <w:t>during</w:t>
      </w:r>
      <w:r w:rsidRPr="00581ED7">
        <w:rPr>
          <w:rFonts w:ascii="Times New Roman" w:hAnsi="Times New Roman" w:cs="Times New Roman"/>
          <w:color w:val="000000"/>
          <w:sz w:val="24"/>
          <w:szCs w:val="24"/>
          <w:shd w:val="clear" w:color="auto" w:fill="FFFFFF"/>
          <w:lang w:val="en-US"/>
        </w:rPr>
        <w:t xml:space="preserve"> the acidogenesis</w:t>
      </w:r>
      <w:r w:rsidRPr="00581ED7">
        <w:rPr>
          <w:rFonts w:ascii="Times New Roman" w:hAnsi="Times New Roman" w:cs="Times New Roman"/>
          <w:bCs/>
          <w:color w:val="000000"/>
          <w:sz w:val="24"/>
          <w:szCs w:val="24"/>
          <w:shd w:val="clear" w:color="auto" w:fill="FFFFFF"/>
          <w:lang w:val="en-US"/>
        </w:rPr>
        <w:t>step</w:t>
      </w:r>
      <w:r w:rsidRPr="00581ED7">
        <w:rPr>
          <w:rFonts w:ascii="Times New Roman" w:hAnsi="Times New Roman" w:cs="Times New Roman"/>
          <w:color w:val="000000"/>
          <w:sz w:val="24"/>
          <w:szCs w:val="24"/>
          <w:shd w:val="clear" w:color="auto" w:fill="FFFFFF"/>
          <w:lang w:val="en-US"/>
        </w:rPr>
        <w:t xml:space="preserve"> into acetic acid, </w:t>
      </w:r>
      <w:r w:rsidRPr="00581ED7">
        <w:rPr>
          <w:rFonts w:ascii="Times New Roman" w:hAnsi="Times New Roman" w:cs="Times New Roman"/>
          <w:bCs/>
          <w:color w:val="000000"/>
          <w:sz w:val="24"/>
          <w:szCs w:val="24"/>
          <w:shd w:val="clear" w:color="auto" w:fill="FFFFFF"/>
          <w:lang w:val="en-US"/>
        </w:rPr>
        <w:t>hydrogen</w:t>
      </w:r>
      <w:r w:rsidRPr="00581ED7">
        <w:rPr>
          <w:rFonts w:ascii="Times New Roman" w:hAnsi="Times New Roman" w:cs="Times New Roman"/>
          <w:color w:val="000000"/>
          <w:sz w:val="24"/>
          <w:szCs w:val="24"/>
          <w:shd w:val="clear" w:color="auto" w:fill="FFFFFF"/>
          <w:lang w:val="en-US"/>
        </w:rPr>
        <w:t xml:space="preserve"> and carbon </w:t>
      </w:r>
      <w:r w:rsidRPr="00581ED7">
        <w:rPr>
          <w:rFonts w:ascii="Times New Roman" w:hAnsi="Times New Roman" w:cs="Times New Roman"/>
          <w:color w:val="000000"/>
          <w:sz w:val="24"/>
          <w:szCs w:val="24"/>
          <w:shd w:val="clear" w:color="auto" w:fill="FFFFFF"/>
          <w:lang w:val="en-US"/>
        </w:rPr>
        <w:lastRenderedPageBreak/>
        <w:t xml:space="preserve">dioxide. This </w:t>
      </w:r>
      <w:r w:rsidRPr="00581ED7">
        <w:rPr>
          <w:rFonts w:ascii="Times New Roman" w:hAnsi="Times New Roman" w:cs="Times New Roman"/>
          <w:bCs/>
          <w:color w:val="000000"/>
          <w:sz w:val="24"/>
          <w:szCs w:val="24"/>
          <w:shd w:val="clear" w:color="auto" w:fill="FFFFFF"/>
          <w:lang w:val="en-US"/>
        </w:rPr>
        <w:t>step</w:t>
      </w:r>
      <w:r w:rsidRPr="00581ED7">
        <w:rPr>
          <w:rFonts w:ascii="Times New Roman" w:hAnsi="Times New Roman" w:cs="Times New Roman"/>
          <w:color w:val="000000"/>
          <w:sz w:val="24"/>
          <w:szCs w:val="24"/>
          <w:shd w:val="clear" w:color="auto" w:fill="FFFFFF"/>
          <w:lang w:val="en-US"/>
        </w:rPr>
        <w:t xml:space="preserve"> represents a critical transition </w:t>
      </w:r>
      <w:r w:rsidRPr="00581ED7">
        <w:rPr>
          <w:rFonts w:ascii="Times New Roman" w:hAnsi="Times New Roman" w:cs="Times New Roman"/>
          <w:bCs/>
          <w:color w:val="000000"/>
          <w:sz w:val="24"/>
          <w:szCs w:val="24"/>
          <w:shd w:val="clear" w:color="auto" w:fill="FFFFFF"/>
          <w:lang w:val="en-US"/>
        </w:rPr>
        <w:t>to</w:t>
      </w:r>
      <w:r w:rsidRPr="00581ED7">
        <w:rPr>
          <w:rFonts w:ascii="Times New Roman" w:hAnsi="Times New Roman" w:cs="Times New Roman"/>
          <w:color w:val="000000"/>
          <w:sz w:val="24"/>
          <w:szCs w:val="24"/>
          <w:shd w:val="clear" w:color="auto" w:fill="FFFFFF"/>
          <w:lang w:val="en-US"/>
        </w:rPr>
        <w:t xml:space="preserve"> the production of methane, a valuable </w:t>
      </w:r>
      <w:r w:rsidRPr="00581ED7">
        <w:rPr>
          <w:rFonts w:ascii="Times New Roman" w:hAnsi="Times New Roman" w:cs="Times New Roman"/>
          <w:bCs/>
          <w:color w:val="000000"/>
          <w:sz w:val="24"/>
          <w:szCs w:val="24"/>
          <w:shd w:val="clear" w:color="auto" w:fill="FFFFFF"/>
          <w:lang w:val="en-US"/>
        </w:rPr>
        <w:t>final product</w:t>
      </w:r>
      <w:r w:rsidRPr="00581ED7">
        <w:rPr>
          <w:rFonts w:ascii="Times New Roman" w:hAnsi="Times New Roman" w:cs="Times New Roman"/>
          <w:color w:val="000000"/>
          <w:sz w:val="24"/>
          <w:szCs w:val="24"/>
          <w:shd w:val="clear" w:color="auto" w:fill="FFFFFF"/>
          <w:lang w:val="en-US"/>
        </w:rPr>
        <w:t xml:space="preserve"> of the process.</w:t>
      </w:r>
    </w:p>
    <w:p w:rsidR="00581ED7" w:rsidRPr="00640522" w:rsidRDefault="00581ED7" w:rsidP="00BA7002">
      <w:pPr>
        <w:pStyle w:val="Paragrafoelenco"/>
        <w:numPr>
          <w:ilvl w:val="0"/>
          <w:numId w:val="9"/>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t>Biological Reactions: During this stage, acetogenic bacteria are crucial. They produce acetic acid and additional hydrogen by using VFAs and hydrogen produced during the acidogenesis phase.</w:t>
      </w:r>
    </w:p>
    <w:p w:rsidR="00581ED7" w:rsidRPr="00640522" w:rsidRDefault="00581ED7" w:rsidP="00BA7002">
      <w:pPr>
        <w:pStyle w:val="Paragrafoelenco"/>
        <w:numPr>
          <w:ilvl w:val="0"/>
          <w:numId w:val="9"/>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t>Microbial Species: Important acetogenic bacteria include Moorellathermoacetica, Clostridium ljungdahlii, and Acetobacteriumwoodii. These microbes are specialized in converting hydrogen and VFAs into acetic acid.</w:t>
      </w:r>
    </w:p>
    <w:p w:rsidR="00581ED7" w:rsidRPr="00640522" w:rsidRDefault="00581ED7" w:rsidP="00BA7002">
      <w:pPr>
        <w:pStyle w:val="Paragrafoelenco"/>
        <w:numPr>
          <w:ilvl w:val="0"/>
          <w:numId w:val="9"/>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t>Chemical Transformations: Acetic acid is created through the chemical transformation of propionic acid and butyric acid, two VFAs. Carbon dioxide and hydrogen undergo simultaneous conversion.</w:t>
      </w:r>
    </w:p>
    <w:p w:rsidR="00581ED7" w:rsidRPr="00581ED7" w:rsidRDefault="00581ED7" w:rsidP="00BA7002">
      <w:pPr>
        <w:jc w:val="both"/>
        <w:rPr>
          <w:rFonts w:ascii="Times New Roman" w:hAnsi="Times New Roman" w:cs="Times New Roman"/>
          <w:color w:val="000000"/>
          <w:sz w:val="24"/>
          <w:szCs w:val="24"/>
          <w:shd w:val="clear" w:color="auto" w:fill="FFFFFF"/>
          <w:lang w:val="en-US"/>
        </w:rPr>
      </w:pPr>
      <w:r w:rsidRPr="00581ED7">
        <w:rPr>
          <w:rFonts w:ascii="Times New Roman" w:hAnsi="Times New Roman" w:cs="Times New Roman"/>
          <w:b/>
          <w:bCs/>
          <w:color w:val="000000"/>
          <w:sz w:val="24"/>
          <w:szCs w:val="24"/>
          <w:shd w:val="clear" w:color="auto" w:fill="FFFFFF"/>
          <w:lang w:val="en-US"/>
        </w:rPr>
        <w:t>Methanogenesis stage:</w:t>
      </w:r>
      <w:r w:rsidRPr="00581ED7">
        <w:rPr>
          <w:rFonts w:ascii="Times New Roman" w:hAnsi="Times New Roman" w:cs="Times New Roman"/>
          <w:color w:val="000000"/>
          <w:sz w:val="24"/>
          <w:szCs w:val="24"/>
          <w:shd w:val="clear" w:color="auto" w:fill="FFFFFF"/>
          <w:lang w:val="en-US"/>
        </w:rPr>
        <w:t xml:space="preserve"> Special bacteria are involved in this step, which is essential for producing methane, a valuable byproduct. This stage is dominated by methanogenicarchaea, which create methane from the carbon dioxide and hydrogen generated in previous stages. This biogas, which is mostly made up of methane, has a lot of potential applications as a sustainable energy source. </w:t>
      </w:r>
    </w:p>
    <w:p w:rsidR="00581ED7" w:rsidRPr="00640522" w:rsidRDefault="00581ED7" w:rsidP="00BA7002">
      <w:pPr>
        <w:pStyle w:val="Paragrafoelenco"/>
        <w:numPr>
          <w:ilvl w:val="0"/>
          <w:numId w:val="8"/>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lastRenderedPageBreak/>
        <w:t>Biological Reactions: Methanogenicarchaea manufacture methane by using the carbon dioxide and hydrogen that were created previously in the process. This process involves a sequence of biological processes that convert carbon molecules to methane.</w:t>
      </w:r>
    </w:p>
    <w:p w:rsidR="00581ED7" w:rsidRPr="00640522" w:rsidRDefault="00581ED7" w:rsidP="00BA7002">
      <w:pPr>
        <w:pStyle w:val="Paragrafoelenco"/>
        <w:numPr>
          <w:ilvl w:val="0"/>
          <w:numId w:val="8"/>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t>Microbial Species: Methanobacterium, Methanosarcina, and Methanococcus are well-known examples of methanogenicarchaea. These archaea generate large amounts of methane and are anaerobic thrivers.</w:t>
      </w:r>
    </w:p>
    <w:p w:rsidR="00581ED7" w:rsidRPr="00640522" w:rsidRDefault="00581ED7" w:rsidP="00BA7002">
      <w:pPr>
        <w:pStyle w:val="Paragrafoelenco"/>
        <w:numPr>
          <w:ilvl w:val="0"/>
          <w:numId w:val="8"/>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t>Chemical Transformations: Hydrogenotrophicmethanogenesis is the process by which carbon dioxide is reduced with hydrogen to create methane and water. Acetoclasticmethanogenesis, on the other hand, is the process by which acetic acid is broken down into methane and carbon dioxide.</w:t>
      </w:r>
    </w:p>
    <w:p w:rsidR="00581ED7" w:rsidRPr="00581ED7" w:rsidRDefault="00581ED7" w:rsidP="00BA7002">
      <w:pPr>
        <w:jc w:val="both"/>
        <w:rPr>
          <w:rFonts w:ascii="Times New Roman" w:hAnsi="Times New Roman" w:cs="Times New Roman"/>
          <w:color w:val="000000"/>
          <w:sz w:val="24"/>
          <w:szCs w:val="24"/>
          <w:shd w:val="clear" w:color="auto" w:fill="FFFFFF"/>
          <w:lang w:val="en-US"/>
        </w:rPr>
      </w:pPr>
      <w:r w:rsidRPr="00581ED7">
        <w:rPr>
          <w:rFonts w:ascii="Times New Roman" w:hAnsi="Times New Roman" w:cs="Times New Roman"/>
          <w:b/>
          <w:color w:val="000000"/>
          <w:sz w:val="24"/>
          <w:szCs w:val="24"/>
          <w:shd w:val="clear" w:color="auto" w:fill="FFFFFF"/>
          <w:lang w:val="en-US"/>
        </w:rPr>
        <w:t xml:space="preserve">Gravimetric </w:t>
      </w:r>
      <w:r w:rsidRPr="00581ED7">
        <w:rPr>
          <w:rFonts w:ascii="Times New Roman" w:hAnsi="Times New Roman" w:cs="Times New Roman"/>
          <w:b/>
          <w:bCs/>
          <w:color w:val="000000"/>
          <w:sz w:val="24"/>
          <w:szCs w:val="24"/>
          <w:shd w:val="clear" w:color="auto" w:fill="FFFFFF"/>
          <w:lang w:val="en-US"/>
        </w:rPr>
        <w:t>separation:</w:t>
      </w:r>
      <w:r w:rsidRPr="00581ED7">
        <w:rPr>
          <w:rFonts w:ascii="Times New Roman" w:hAnsi="Times New Roman" w:cs="Times New Roman"/>
          <w:color w:val="000000"/>
          <w:sz w:val="24"/>
          <w:szCs w:val="24"/>
          <w:shd w:val="clear" w:color="auto" w:fill="FFFFFF"/>
          <w:lang w:val="en-US"/>
        </w:rPr>
        <w:t xml:space="preserve"> By dividing the product into oil and protein phases and removing the NPK brine, this stage refines the final product. The flawless operation of the extraction process is guaranteed by this technique. The different components' densities are used in the gravimetric separation procedure. The heavier protein phase mostly sinks to the bottom while the lighter oil phase mostly floats to the top. To extract individual components in their </w:t>
      </w:r>
      <w:r w:rsidRPr="00581ED7">
        <w:rPr>
          <w:rFonts w:ascii="Times New Roman" w:hAnsi="Times New Roman" w:cs="Times New Roman"/>
          <w:color w:val="000000"/>
          <w:sz w:val="24"/>
          <w:szCs w:val="24"/>
          <w:shd w:val="clear" w:color="auto" w:fill="FFFFFF"/>
          <w:lang w:val="en-US"/>
        </w:rPr>
        <w:lastRenderedPageBreak/>
        <w:t>purest form, ready for further industrial usage, this separation process is essential.</w:t>
      </w:r>
    </w:p>
    <w:p w:rsidR="00581ED7" w:rsidRPr="00640522" w:rsidRDefault="00581ED7" w:rsidP="00BA7002">
      <w:pPr>
        <w:pStyle w:val="Paragrafoelenco"/>
        <w:numPr>
          <w:ilvl w:val="0"/>
          <w:numId w:val="7"/>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t>Biochemical mechanisms (Not Relevant): In contrast to the preceding phases, biological processes are not involved in the gravimetric separation step. Rather, it is predicated on the physical aspects of density.</w:t>
      </w:r>
    </w:p>
    <w:p w:rsidR="00581ED7" w:rsidRPr="00640522" w:rsidRDefault="00581ED7" w:rsidP="00BA7002">
      <w:pPr>
        <w:pStyle w:val="Paragrafoelenco"/>
        <w:numPr>
          <w:ilvl w:val="0"/>
          <w:numId w:val="7"/>
        </w:numPr>
        <w:jc w:val="both"/>
        <w:rPr>
          <w:rFonts w:ascii="Times New Roman" w:hAnsi="Times New Roman" w:cs="Times New Roman"/>
          <w:color w:val="000000"/>
          <w:sz w:val="24"/>
          <w:szCs w:val="24"/>
          <w:shd w:val="clear" w:color="auto" w:fill="FFFFFF"/>
        </w:rPr>
      </w:pPr>
      <w:r w:rsidRPr="00640522">
        <w:rPr>
          <w:rFonts w:ascii="Times New Roman" w:hAnsi="Times New Roman" w:cs="Times New Roman"/>
          <w:color w:val="000000"/>
          <w:sz w:val="24"/>
          <w:szCs w:val="24"/>
          <w:shd w:val="clear" w:color="auto" w:fill="FFFFFF"/>
        </w:rPr>
        <w:t>Microbial Species (Not Applicable): Since this is a physical separation procedure, there is no direct interaction with microbial species.</w:t>
      </w:r>
    </w:p>
    <w:p w:rsidR="00581ED7" w:rsidRPr="00640522" w:rsidRDefault="00581ED7" w:rsidP="00BA7002">
      <w:pPr>
        <w:pStyle w:val="Paragrafoelenco"/>
        <w:numPr>
          <w:ilvl w:val="0"/>
          <w:numId w:val="7"/>
        </w:numPr>
        <w:jc w:val="both"/>
        <w:rPr>
          <w:rFonts w:ascii="Times New Roman" w:hAnsi="Times New Roman" w:cs="Times New Roman"/>
          <w:sz w:val="24"/>
          <w:szCs w:val="24"/>
        </w:rPr>
      </w:pPr>
      <w:r w:rsidRPr="00640522">
        <w:rPr>
          <w:rFonts w:ascii="Times New Roman" w:hAnsi="Times New Roman" w:cs="Times New Roman"/>
          <w:sz w:val="24"/>
          <w:szCs w:val="24"/>
        </w:rPr>
        <w:t>Chemical Transformations (Not Applicable): Because gravimetric separation is largely a physical separation process, no chemical transformations occur.</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Claims</w:t>
      </w:r>
    </w:p>
    <w:p w:rsidR="00581ED7" w:rsidRPr="00581ED7" w:rsidRDefault="00581ED7" w:rsidP="00BA7002">
      <w:pPr>
        <w:jc w:val="both"/>
        <w:rPr>
          <w:rFonts w:ascii="Times New Roman" w:hAnsi="Times New Roman" w:cs="Times New Roman"/>
          <w:color w:val="000000"/>
          <w:sz w:val="24"/>
          <w:szCs w:val="24"/>
          <w:shd w:val="clear" w:color="auto" w:fill="FFFFFF"/>
          <w:lang w:val="en-US"/>
        </w:rPr>
      </w:pPr>
      <w:r w:rsidRPr="00581ED7">
        <w:rPr>
          <w:rFonts w:ascii="Times New Roman" w:hAnsi="Times New Roman" w:cs="Times New Roman"/>
          <w:color w:val="000000"/>
          <w:sz w:val="24"/>
          <w:szCs w:val="24"/>
          <w:shd w:val="clear" w:color="auto" w:fill="FFFFFF"/>
          <w:lang w:val="en-US"/>
        </w:rPr>
        <w:t>Many novel aspects are claimed in the patent. It takes credit for all of the different stages of degradation and the final components' gravimetric separation. Furthermore, the device's configuration—which comprises the gas separation blocks, sink, and deflectors—is likewise covered by patent. Patent claims present these creative contributions.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Drawing</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The drawing shows the basin, baffles, and gas separation blocks, giving a visual depiction of the device's structure. It is an invaluable resource for comprehending how the patented process is actually put into practise.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Analysis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MBGC-Digester patent is a novel approach to sustainable resource extraction. Certain bacteria aid in the ordered degradation process, ensuring that essential components are extracted efficiently. The gravimetric separation method improves the outcome even further. The device's design features such as the basin, baffles, and gas separation blocks facilitate the effective implementation of the procedure. This innovation holds great promise for application in numerous fields requiring the extraction of resources from organic materials. Its contributions help achieve sustainability and resource conservation goals.</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Technology Evaluation : MBGC Technology vs. Other Waste-to-Energy Technologies in relation to SDG 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In comparison to current waste-to-energy techniques, the Mini Bio Gas Continuous (MBGC) technology is a novel approach that holds significant potential advantages, especially in accomplishing the goals specified in Sustainable Development Goal (SDG) 11.1. The purpose </w:t>
      </w:r>
      <w:r w:rsidRPr="00581ED7">
        <w:rPr>
          <w:rFonts w:ascii="Times New Roman" w:hAnsi="Times New Roman" w:cs="Times New Roman"/>
          <w:sz w:val="24"/>
          <w:szCs w:val="24"/>
          <w:lang w:val="en-US"/>
        </w:rPr>
        <w:lastRenderedPageBreak/>
        <w:t>of this analysis is to highlight the unique qualities and benefits that make MBGC stand out among waste-to-energy technologies.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Productivity: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Through the use of specialized microorganisms, the theoretical application of MBGC technology meticulously controls biological interactions with outstanding efficiency. The process of hydrolysis, followed by acidogenesis, acetogenesis, and methanogenesis, guarantees the thorough extraction of essential elements from organic materials. This well-designed waste-to-energy system promises extraordinarily high conversion rates via precisely regulated biological stimulation, which is in perfect harmony with SDG 11.1's goals.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Additional Waste-to-Energy Systems: Although techniques like pyrolysis and incineration have the ability to turn organic waste into energy, they might have trouble reaching similar conversion rates. Problems such as inadequate combustion, inadequate temperature regulation, and limitations in feedstock compatibility can impede overall effectiveness and hence make them unsuitable for achieving SDG 11.1's water availability targets.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Cost-Effectiveness: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When it comes to affordability, MBGC technology excels. The utilization of naturally occurring microorganisms and a streamlined technique renders the need for expensive catalysts or chemicals unnecessary. Adding a gravimetric separation phase also improves the quality of components that are recovered, which lowers the cost of processing them later 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Additional Waste-to-Energy Technology: A number of alternative technologies, like incineration, might come with hefty operating and maintenance costs because of the need for specialized equipment and the handling of potentially dangerous byproducts. Pyrolysis is a promising process, but it can need complicated apparatus and expensive feedstock preparation.</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Effect on the Environment: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MBGC technology has a big effect on the environment. Through effective resource recovery from organic waste, conventional waste disposal methods have a smaller environmental impact. Additionally, the method significantly lowers methane emissions, a strong greenhouse gas that contributes to climate change, in line with the objectives of SDG 11.1 for sustainable urban development.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Additional Waste-to-Energy Technology: Even though waste-to-energy technologies typically offer environmental advantages over traditional landfilling, some processes, such as incineration, may release pollutants and greenhouse gases. While the efficiency and cost-effectiveness of advanced technologies like gasification and anaerobic digestion vary, they nevertheless provide advantages for the environment.</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Flexibility of Feedstock:</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remarkable versatility of MBGC technology allows it to effectively process a broad range of organic materials, such as food waste, organic sludge from wastewater treatment plants, and agricultural waste. Because of its adaptability, it is the best at managing a variety of waste streams.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Additional Waste-to-Energy Systems: Certain processes might be best suited for particular feedstocks, but they struggle with a wide variety of organic compounds. For example, in order to achieve the best results, some pyrolysis techniques may require the feedstock to be pretreated.</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Scalability: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Because of its inherent scalability, MBGC technology can be applied in a variety of contexts, ranging from small-scale community projects to large-scale industrial operations. Its versatility makes it suitable for a wide range of situations and industries, which increases the potential effect of this technology.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Additional Waste-to-Energy Systems: Some technologies, especially those that depend on complex or specialized machinery, could have problems scaling because of things like feedstock availability and logistical limitations.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Social Acceptance: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 environmental friendliness of MBGC technology makes it likely to be widely accepted by society. Its promise as a top waste-to-energy solution is reinforced by the way in which the conversion of organic waste into valuable resources satisfies public objectives for sustainability and waste reduction.</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Although it hasn't been put into practise yet, the Mini Bio Gas Continuous (MBGC) technology stands out among waste-to-energy alternatives, outperforming rivals in terms of effectiveness, affordability, environmental impact, feedstock adaptability, scalability, and social acceptability. </w:t>
      </w:r>
      <w:r w:rsidRPr="00581ED7">
        <w:rPr>
          <w:rFonts w:ascii="Times New Roman" w:hAnsi="Times New Roman" w:cs="Times New Roman"/>
          <w:sz w:val="24"/>
          <w:szCs w:val="24"/>
          <w:lang w:val="en-US"/>
        </w:rPr>
        <w:lastRenderedPageBreak/>
        <w:t>When combined with gravimetric separation, its carefully crafted biological processes offer an incredibly effective and sustainable way to turn organic waste into useful resources. In comparison to alternative technologies, MBGC is a complete solution that takes into account several factors, making it a leading option for renewable energy production and sustainable waste management, particularly in light of SDG 11.1.</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635369">
      <w:pPr>
        <w:pStyle w:val="Titolo1"/>
        <w:rPr>
          <w:lang w:val="en-US"/>
        </w:rPr>
      </w:pPr>
      <w:bookmarkStart w:id="4" w:name="_Toc150285333"/>
      <w:r w:rsidRPr="00581ED7">
        <w:rPr>
          <w:lang w:val="en-US"/>
        </w:rPr>
        <w:t>Innovations Shaping Sustainable Urban Futures</w:t>
      </w:r>
      <w:bookmarkEnd w:id="4"/>
    </w:p>
    <w:p w:rsidR="00635369" w:rsidRDefault="00635369"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This chapter delves into innovative ideas and cutting-edge technology that have the potential to completely transform Bangladesh's urban environments. Although they have not yet been implemented, these innovative strategies have great potential for professionals, managers, and decision-</w:t>
      </w:r>
      <w:r w:rsidRPr="00581ED7">
        <w:rPr>
          <w:rFonts w:ascii="Times New Roman" w:hAnsi="Times New Roman" w:cs="Times New Roman"/>
          <w:sz w:val="24"/>
          <w:szCs w:val="24"/>
          <w:lang w:val="en-US"/>
        </w:rPr>
        <w:lastRenderedPageBreak/>
        <w:t>makers who are keen to lead the way in sustainable urban development in accordance with SDG 11.1.</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Case Study 1: Planning for Bangladesh's Future Urban Waste Management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Bangladesh's urbanization has brought about previously unheard-of growth and a spike in garbage production. Conventional waste management techniques are finding it difficult to keep up with the speed at which cities are expanding. However, it is not only feasible but also necessary for sustainable urban growth to imagine a day when trash is no longer an issue but rather a resource.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The Outlook</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Waste management experiences a paradigm change in this future. Waste may now be used to improve society and the environment, rather of being seen as a burden. It is a precious resource. This all-encompassing strategy transforms how towns handle their waste by incorporating cutting-edge technologies and embracing the ideas of a circular economy.</w:t>
      </w:r>
    </w:p>
    <w:p w:rsidR="00581ED7" w:rsidRPr="00640522" w:rsidRDefault="00581ED7" w:rsidP="00BA7002">
      <w:pPr>
        <w:jc w:val="both"/>
        <w:rPr>
          <w:rFonts w:ascii="Times New Roman" w:hAnsi="Times New Roman" w:cs="Times New Roman"/>
          <w:b/>
          <w:sz w:val="24"/>
          <w:szCs w:val="24"/>
        </w:rPr>
      </w:pPr>
      <w:r w:rsidRPr="00640522">
        <w:rPr>
          <w:rFonts w:ascii="Times New Roman" w:hAnsi="Times New Roman" w:cs="Times New Roman"/>
          <w:b/>
          <w:sz w:val="24"/>
          <w:szCs w:val="24"/>
        </w:rPr>
        <w:t>Important Aspects of the Vision</w:t>
      </w:r>
    </w:p>
    <w:p w:rsidR="00581ED7" w:rsidRPr="00640522" w:rsidRDefault="00581ED7" w:rsidP="00BA7002">
      <w:pPr>
        <w:pStyle w:val="Paragrafoelenco"/>
        <w:numPr>
          <w:ilvl w:val="0"/>
          <w:numId w:val="28"/>
        </w:numPr>
        <w:jc w:val="both"/>
        <w:rPr>
          <w:rFonts w:ascii="Times New Roman" w:hAnsi="Times New Roman" w:cs="Times New Roman"/>
          <w:sz w:val="24"/>
          <w:szCs w:val="24"/>
        </w:rPr>
      </w:pPr>
      <w:r w:rsidRPr="00640522">
        <w:rPr>
          <w:rFonts w:ascii="Times New Roman" w:hAnsi="Times New Roman" w:cs="Times New Roman"/>
          <w:sz w:val="24"/>
          <w:szCs w:val="24"/>
        </w:rPr>
        <w:t xml:space="preserve">Waste Valorization: The idea of waste valorization is the foundation of this vision. Cutting-edge recycling and sorting technology are incorporated </w:t>
      </w:r>
      <w:r w:rsidRPr="00640522">
        <w:rPr>
          <w:rFonts w:ascii="Times New Roman" w:hAnsi="Times New Roman" w:cs="Times New Roman"/>
          <w:sz w:val="24"/>
          <w:szCs w:val="24"/>
        </w:rPr>
        <w:lastRenderedPageBreak/>
        <w:t>into municipal infrastructure with ease. This makes it possible to remove items with a high potential for recycling effectively, keeping them out of landfills and repurposing them.</w:t>
      </w:r>
    </w:p>
    <w:p w:rsidR="00581ED7" w:rsidRPr="00640522" w:rsidRDefault="00581ED7" w:rsidP="00BA7002">
      <w:pPr>
        <w:pStyle w:val="Paragrafoelenco"/>
        <w:numPr>
          <w:ilvl w:val="0"/>
          <w:numId w:val="28"/>
        </w:numPr>
        <w:jc w:val="both"/>
        <w:rPr>
          <w:rFonts w:ascii="Times New Roman" w:hAnsi="Times New Roman" w:cs="Times New Roman"/>
          <w:sz w:val="24"/>
          <w:szCs w:val="24"/>
        </w:rPr>
      </w:pPr>
      <w:r w:rsidRPr="00640522">
        <w:rPr>
          <w:rFonts w:ascii="Times New Roman" w:hAnsi="Times New Roman" w:cs="Times New Roman"/>
          <w:sz w:val="24"/>
          <w:szCs w:val="24"/>
        </w:rPr>
        <w:t>Integration of the Circular Economy: The proposed model is based on the concepts of the circular economy. A closed-loop system minimizes waste production and lowers the need for virgin resources by moving materials through it. This reduces the negative effects on the environment while also conserving natural resources.</w:t>
      </w:r>
    </w:p>
    <w:p w:rsidR="00581ED7" w:rsidRPr="00640522" w:rsidRDefault="00581ED7" w:rsidP="00BA7002">
      <w:pPr>
        <w:pStyle w:val="Paragrafoelenco"/>
        <w:numPr>
          <w:ilvl w:val="0"/>
          <w:numId w:val="28"/>
        </w:numPr>
        <w:jc w:val="both"/>
        <w:rPr>
          <w:rFonts w:ascii="Times New Roman" w:hAnsi="Times New Roman" w:cs="Times New Roman"/>
          <w:sz w:val="24"/>
          <w:szCs w:val="24"/>
        </w:rPr>
      </w:pPr>
      <w:r w:rsidRPr="00640522">
        <w:rPr>
          <w:rFonts w:ascii="Times New Roman" w:hAnsi="Times New Roman" w:cs="Times New Roman"/>
          <w:sz w:val="24"/>
          <w:szCs w:val="24"/>
        </w:rPr>
        <w:t>Technological Advancements: The revolution in waste management is mostly due to cutting-edge technologies. Modern waste-to-energy plants, sophisticated composting methods, and automated sorting systems are thoughtfully placed to maximize resource recovery and reduce environmental impact.</w:t>
      </w:r>
    </w:p>
    <w:p w:rsidR="00581ED7" w:rsidRPr="00640522" w:rsidRDefault="00581ED7" w:rsidP="00BA7002">
      <w:pPr>
        <w:pStyle w:val="Paragrafoelenco"/>
        <w:numPr>
          <w:ilvl w:val="0"/>
          <w:numId w:val="28"/>
        </w:numPr>
        <w:jc w:val="both"/>
        <w:rPr>
          <w:rFonts w:ascii="Times New Roman" w:hAnsi="Times New Roman" w:cs="Times New Roman"/>
          <w:sz w:val="24"/>
          <w:szCs w:val="24"/>
        </w:rPr>
      </w:pPr>
      <w:r w:rsidRPr="00640522">
        <w:rPr>
          <w:rFonts w:ascii="Times New Roman" w:hAnsi="Times New Roman" w:cs="Times New Roman"/>
          <w:sz w:val="24"/>
          <w:szCs w:val="24"/>
        </w:rPr>
        <w:t>Community Engagement and Education: A key component of the proposed strategy is the active participation of the community. Public participation programs, education efforts, and awareness campaigns enable people and communities to take charge of trash management procedures. This promotes a sustainable culture in addition to increasing the model's efficacy.</w:t>
      </w:r>
    </w:p>
    <w:p w:rsidR="00581ED7" w:rsidRPr="00640522" w:rsidRDefault="00581ED7" w:rsidP="00BA7002">
      <w:pPr>
        <w:pStyle w:val="Paragrafoelenco"/>
        <w:numPr>
          <w:ilvl w:val="0"/>
          <w:numId w:val="28"/>
        </w:numPr>
        <w:jc w:val="both"/>
        <w:rPr>
          <w:rFonts w:ascii="Times New Roman" w:hAnsi="Times New Roman" w:cs="Times New Roman"/>
          <w:b/>
          <w:sz w:val="24"/>
          <w:szCs w:val="24"/>
        </w:rPr>
      </w:pPr>
      <w:r w:rsidRPr="00640522">
        <w:rPr>
          <w:rFonts w:ascii="Times New Roman" w:hAnsi="Times New Roman" w:cs="Times New Roman"/>
          <w:sz w:val="24"/>
          <w:szCs w:val="24"/>
        </w:rPr>
        <w:lastRenderedPageBreak/>
        <w:t>Decentralized Waste Management Hubs: A network of decentralized waste management hubs replaces the conventional centralized trash disposal paradigm. These well-placed facilities act as hubs for garbage processing, cutting down on the need for lengthy trips and the emissions that go along with them.</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Expected Effect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There will be several advantages to this innovative waste management model's deployment, including:</w:t>
      </w:r>
    </w:p>
    <w:p w:rsidR="00581ED7" w:rsidRPr="00640522" w:rsidRDefault="00581ED7" w:rsidP="00BA7002">
      <w:pPr>
        <w:pStyle w:val="Paragrafoelenco"/>
        <w:numPr>
          <w:ilvl w:val="0"/>
          <w:numId w:val="27"/>
        </w:numPr>
        <w:jc w:val="both"/>
        <w:rPr>
          <w:rFonts w:ascii="Times New Roman" w:hAnsi="Times New Roman" w:cs="Times New Roman"/>
          <w:sz w:val="24"/>
          <w:szCs w:val="24"/>
        </w:rPr>
      </w:pPr>
      <w:r w:rsidRPr="00640522">
        <w:rPr>
          <w:rFonts w:ascii="Times New Roman" w:hAnsi="Times New Roman" w:cs="Times New Roman"/>
          <w:sz w:val="24"/>
          <w:szCs w:val="24"/>
        </w:rPr>
        <w:t>Economic Prosperity: It is anticipated that the recovery of precious materials and the emergence of cutting-edge waste management enterprises will spur economic expansion. Two expected benefits are greater economic resilience and the development of jobs.</w:t>
      </w:r>
    </w:p>
    <w:p w:rsidR="00581ED7" w:rsidRPr="00640522" w:rsidRDefault="00581ED7" w:rsidP="00BA7002">
      <w:pPr>
        <w:pStyle w:val="Paragrafoelenco"/>
        <w:numPr>
          <w:ilvl w:val="0"/>
          <w:numId w:val="27"/>
        </w:numPr>
        <w:jc w:val="both"/>
        <w:rPr>
          <w:rFonts w:ascii="Times New Roman" w:hAnsi="Times New Roman" w:cs="Times New Roman"/>
          <w:sz w:val="24"/>
          <w:szCs w:val="24"/>
        </w:rPr>
      </w:pPr>
      <w:r w:rsidRPr="00640522">
        <w:rPr>
          <w:rFonts w:ascii="Times New Roman" w:hAnsi="Times New Roman" w:cs="Times New Roman"/>
          <w:sz w:val="24"/>
          <w:szCs w:val="24"/>
        </w:rPr>
        <w:t>Environmental Resilience: Stress on the environment will be lessened by minimizing the use of landfills and optimizing resource use. Overall environmental quality is anticipated to improve with reduced greenhouse gas emissions and better air and water quality.</w:t>
      </w:r>
    </w:p>
    <w:p w:rsidR="00581ED7" w:rsidRPr="00640522" w:rsidRDefault="00581ED7" w:rsidP="00BA7002">
      <w:pPr>
        <w:pStyle w:val="Paragrafoelenco"/>
        <w:numPr>
          <w:ilvl w:val="0"/>
          <w:numId w:val="27"/>
        </w:numPr>
        <w:jc w:val="both"/>
        <w:rPr>
          <w:rFonts w:ascii="Times New Roman" w:hAnsi="Times New Roman" w:cs="Times New Roman"/>
          <w:sz w:val="24"/>
          <w:szCs w:val="24"/>
        </w:rPr>
      </w:pPr>
      <w:r w:rsidRPr="00640522">
        <w:rPr>
          <w:rFonts w:ascii="Times New Roman" w:hAnsi="Times New Roman" w:cs="Times New Roman"/>
          <w:sz w:val="24"/>
          <w:szCs w:val="24"/>
        </w:rPr>
        <w:t xml:space="preserve">Social Well-Being: Communities that are empowered and actively involved in trash </w:t>
      </w:r>
      <w:r w:rsidRPr="00640522">
        <w:rPr>
          <w:rFonts w:ascii="Times New Roman" w:hAnsi="Times New Roman" w:cs="Times New Roman"/>
          <w:sz w:val="24"/>
          <w:szCs w:val="24"/>
        </w:rPr>
        <w:lastRenderedPageBreak/>
        <w:t>management will live in better conditions. An urban environment that is more lively and healthful will be facilitated by decreased health hazards and improved living conditions.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Conclusion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This case study provides an engaging look into a future in which garbage is valued as a resource rather than as an issue that has to be solved. Cities in Bangladesh may pave the way for sustainable urban development by adopting innovative strategies, combining technology, circular economy ideas, and community involvement. This model lays the groundwork for cities to not only successfully manage garbage but also benefit greatly from it, paving the way for a time when urban areas will stand as examples of resilience and sustainability.</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Preemptive Approach to Environmental Impact Anticipation</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Environmental Effects Prediction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We must take a proactive stance in identifying and reducing any potential environmental effects in order to advance science and innovation. Future Environmental Guardians will have the important duty of anticipating and </w:t>
      </w:r>
      <w:r w:rsidRPr="00581ED7">
        <w:rPr>
          <w:rFonts w:ascii="Times New Roman" w:hAnsi="Times New Roman" w:cs="Times New Roman"/>
          <w:sz w:val="24"/>
          <w:szCs w:val="24"/>
          <w:lang w:val="en-US"/>
        </w:rPr>
        <w:lastRenderedPageBreak/>
        <w:t>resolving issues related to advances that haven't been put into practise yet. By doing this, we create the conditions for a time in the future when progress and the environment can coexist together.</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Expected Environmental Effects </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Urban Planning and Land Use:</w:t>
      </w:r>
    </w:p>
    <w:p w:rsidR="00581ED7" w:rsidRPr="00640522" w:rsidRDefault="00581ED7" w:rsidP="00BA7002">
      <w:pPr>
        <w:pStyle w:val="Paragrafoelenco"/>
        <w:numPr>
          <w:ilvl w:val="0"/>
          <w:numId w:val="26"/>
        </w:numPr>
        <w:jc w:val="both"/>
        <w:rPr>
          <w:rFonts w:ascii="Times New Roman" w:hAnsi="Times New Roman" w:cs="Times New Roman"/>
          <w:sz w:val="24"/>
          <w:szCs w:val="24"/>
        </w:rPr>
      </w:pPr>
      <w:r w:rsidRPr="00640522">
        <w:rPr>
          <w:rFonts w:ascii="Times New Roman" w:hAnsi="Times New Roman" w:cs="Times New Roman"/>
          <w:sz w:val="24"/>
          <w:szCs w:val="24"/>
        </w:rPr>
        <w:t>Strategic Urban Planning: Planning for sustainable housing may be necessary in order to accommodate it. This includes accessibility to amenities, transit infrastructure, and zoning considerations. In order to minimize the necessity for personal automobile use, it is imperative that new housing projects be situated in regions with good access to public transportation and amenities.</w:t>
      </w:r>
    </w:p>
    <w:p w:rsidR="00581ED7" w:rsidRPr="00640522" w:rsidRDefault="00581ED7" w:rsidP="00BA7002">
      <w:pPr>
        <w:pStyle w:val="Paragrafoelenco"/>
        <w:numPr>
          <w:ilvl w:val="0"/>
          <w:numId w:val="26"/>
        </w:numPr>
        <w:jc w:val="both"/>
        <w:rPr>
          <w:rFonts w:ascii="Times New Roman" w:hAnsi="Times New Roman" w:cs="Times New Roman"/>
          <w:sz w:val="24"/>
          <w:szCs w:val="24"/>
        </w:rPr>
      </w:pPr>
      <w:r w:rsidRPr="00640522">
        <w:rPr>
          <w:rFonts w:ascii="Times New Roman" w:hAnsi="Times New Roman" w:cs="Times New Roman"/>
          <w:sz w:val="24"/>
          <w:szCs w:val="24"/>
        </w:rPr>
        <w:t>Ecosystem Impact Assessment: It's critical to assess changes in land use in advance. Assessing possible effects on nearby ecosystems, wildlife habitats, and green areas is part of this. Environmental impact assessments (EIAs) may be necessary in order to identify potential dangers and create mitigation plans.</w:t>
      </w:r>
    </w:p>
    <w:p w:rsidR="00581ED7" w:rsidRPr="00640522" w:rsidRDefault="00581ED7" w:rsidP="00BA7002">
      <w:pPr>
        <w:pStyle w:val="Paragrafoelenco"/>
        <w:numPr>
          <w:ilvl w:val="0"/>
          <w:numId w:val="26"/>
        </w:numPr>
        <w:jc w:val="both"/>
        <w:rPr>
          <w:rFonts w:ascii="Times New Roman" w:hAnsi="Times New Roman" w:cs="Times New Roman"/>
          <w:sz w:val="24"/>
          <w:szCs w:val="24"/>
        </w:rPr>
      </w:pPr>
      <w:r w:rsidRPr="00640522">
        <w:rPr>
          <w:rFonts w:ascii="Times New Roman" w:hAnsi="Times New Roman" w:cs="Times New Roman"/>
          <w:sz w:val="24"/>
          <w:szCs w:val="24"/>
        </w:rPr>
        <w:t xml:space="preserve">Integration of Green Infrastructure: Permeable pavements, urban green areas, and green roofs are examples of green infrastructure components that </w:t>
      </w:r>
      <w:r w:rsidRPr="00640522">
        <w:rPr>
          <w:rFonts w:ascii="Times New Roman" w:hAnsi="Times New Roman" w:cs="Times New Roman"/>
          <w:sz w:val="24"/>
          <w:szCs w:val="24"/>
        </w:rPr>
        <w:lastRenderedPageBreak/>
        <w:t>are frequently incorporated into sustainable housing developments.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Efficiency of Water and Energy:</w:t>
      </w:r>
    </w:p>
    <w:p w:rsidR="00581ED7" w:rsidRPr="00640522" w:rsidRDefault="00581ED7" w:rsidP="00BA7002">
      <w:pPr>
        <w:pStyle w:val="Paragrafoelenco"/>
        <w:numPr>
          <w:ilvl w:val="0"/>
          <w:numId w:val="25"/>
        </w:numPr>
        <w:jc w:val="both"/>
        <w:rPr>
          <w:rFonts w:ascii="Times New Roman" w:hAnsi="Times New Roman" w:cs="Times New Roman"/>
          <w:sz w:val="24"/>
          <w:szCs w:val="24"/>
        </w:rPr>
      </w:pPr>
      <w:r w:rsidRPr="00640522">
        <w:rPr>
          <w:rFonts w:ascii="Times New Roman" w:hAnsi="Times New Roman" w:cs="Times New Roman"/>
          <w:sz w:val="24"/>
          <w:szCs w:val="24"/>
        </w:rPr>
        <w:t>Energy Demand and Efficiency: The goal of sustainable housing concepts is to use less energy. Energy-efficient building designs, the use of renewable energy sources (such as solar panels), and the implementation of technology like smart home systems to optimize energy use are examples of preventive measures.</w:t>
      </w:r>
    </w:p>
    <w:p w:rsidR="00581ED7" w:rsidRPr="00640522" w:rsidRDefault="00581ED7" w:rsidP="00BA7002">
      <w:pPr>
        <w:pStyle w:val="Paragrafoelenco"/>
        <w:numPr>
          <w:ilvl w:val="0"/>
          <w:numId w:val="25"/>
        </w:numPr>
        <w:jc w:val="both"/>
        <w:rPr>
          <w:rFonts w:ascii="Times New Roman" w:hAnsi="Times New Roman" w:cs="Times New Roman"/>
          <w:sz w:val="24"/>
          <w:szCs w:val="24"/>
        </w:rPr>
      </w:pPr>
      <w:r w:rsidRPr="00640522">
        <w:rPr>
          <w:rFonts w:ascii="Times New Roman" w:hAnsi="Times New Roman" w:cs="Times New Roman"/>
          <w:sz w:val="24"/>
          <w:szCs w:val="24"/>
        </w:rPr>
        <w:t>Water Demand and Conservation: It's critical to plan ahead for the water requirements of sustainable housing. This entails encouraging water-efficient gardening techniques, installing rainwater harvesting systems, and constructing buildings with water-saving devices. Greywater recycling devices can also be incorporated to repurpose water for uses other than potable ones.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Managing Waste and the Circular Economy:</w:t>
      </w:r>
    </w:p>
    <w:p w:rsidR="00581ED7" w:rsidRPr="00640522" w:rsidRDefault="00581ED7" w:rsidP="00BA7002">
      <w:pPr>
        <w:pStyle w:val="Paragrafoelenco"/>
        <w:numPr>
          <w:ilvl w:val="0"/>
          <w:numId w:val="24"/>
        </w:numPr>
        <w:jc w:val="both"/>
        <w:rPr>
          <w:rFonts w:ascii="Times New Roman" w:hAnsi="Times New Roman" w:cs="Times New Roman"/>
          <w:sz w:val="24"/>
          <w:szCs w:val="24"/>
        </w:rPr>
      </w:pPr>
      <w:r w:rsidRPr="00640522">
        <w:rPr>
          <w:rFonts w:ascii="Times New Roman" w:hAnsi="Times New Roman" w:cs="Times New Roman"/>
          <w:sz w:val="24"/>
          <w:szCs w:val="24"/>
        </w:rPr>
        <w:t xml:space="preserve">Principles of the Circular Economy: Sustainable housing is in line with the circular economy's goals of reducing waste and maximizing resource efficiency. This could entail designing buildings for simple disassembly and material recovery, </w:t>
      </w:r>
      <w:r w:rsidRPr="00640522">
        <w:rPr>
          <w:rFonts w:ascii="Times New Roman" w:hAnsi="Times New Roman" w:cs="Times New Roman"/>
          <w:sz w:val="24"/>
          <w:szCs w:val="24"/>
        </w:rPr>
        <w:lastRenderedPageBreak/>
        <w:t>utilizing recycled and renewable resources in construction, and promoting the reuse and repurposing of architectural components.</w:t>
      </w:r>
    </w:p>
    <w:p w:rsidR="00581ED7" w:rsidRPr="00640522" w:rsidRDefault="00581ED7" w:rsidP="00BA7002">
      <w:pPr>
        <w:pStyle w:val="Paragrafoelenco"/>
        <w:numPr>
          <w:ilvl w:val="0"/>
          <w:numId w:val="24"/>
        </w:numPr>
        <w:jc w:val="both"/>
        <w:rPr>
          <w:rFonts w:ascii="Times New Roman" w:hAnsi="Times New Roman" w:cs="Times New Roman"/>
          <w:sz w:val="24"/>
          <w:szCs w:val="24"/>
        </w:rPr>
      </w:pPr>
      <w:r w:rsidRPr="00640522">
        <w:rPr>
          <w:rFonts w:ascii="Times New Roman" w:hAnsi="Times New Roman" w:cs="Times New Roman"/>
          <w:sz w:val="24"/>
          <w:szCs w:val="24"/>
        </w:rPr>
        <w:t>Waste Generation Patterns: It's critical to anticipate changes in the patterns of waste generation. Because sustainable housing projects employ long-lasting, durable materials and efficient construction techniques, they generally result in reduced trash production. This may result in less waste going to landfills and a smaller environmental effect overall.</w:t>
      </w:r>
    </w:p>
    <w:p w:rsidR="00581ED7" w:rsidRPr="00640522" w:rsidRDefault="00581ED7" w:rsidP="00BA7002">
      <w:pPr>
        <w:pStyle w:val="Paragrafoelenco"/>
        <w:numPr>
          <w:ilvl w:val="0"/>
          <w:numId w:val="24"/>
        </w:numPr>
        <w:jc w:val="both"/>
        <w:rPr>
          <w:rFonts w:ascii="Times New Roman" w:hAnsi="Times New Roman" w:cs="Times New Roman"/>
          <w:sz w:val="24"/>
          <w:szCs w:val="24"/>
        </w:rPr>
      </w:pPr>
      <w:r w:rsidRPr="00640522">
        <w:rPr>
          <w:rFonts w:ascii="Times New Roman" w:hAnsi="Times New Roman" w:cs="Times New Roman"/>
          <w:sz w:val="24"/>
          <w:szCs w:val="24"/>
        </w:rPr>
        <w:t>Effective Waste Management Systems: It's imperative to set up effective waste management systems. This could involve cooperation with nearby trash management companies, composting initiatives, and on-site recycling facilities. To optimize resource recovery, it's critical to make it easier for recyclables, organics, and non-recyclable garbage to be separated.</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Sustainable housing developments can successfully mitigate potential environmental impacts and promote long-term sustainability, resilience, and positive contributions to local communities and ecosystems by using these preventive measures.</w:t>
      </w:r>
    </w:p>
    <w:p w:rsidR="00581ED7" w:rsidRPr="00581ED7" w:rsidRDefault="00581ED7" w:rsidP="00635369">
      <w:pPr>
        <w:pStyle w:val="Titolo1"/>
        <w:rPr>
          <w:lang w:val="en-US"/>
        </w:rPr>
      </w:pPr>
      <w:bookmarkStart w:id="5" w:name="_Toc150285334"/>
      <w:r w:rsidRPr="00581ED7">
        <w:rPr>
          <w:lang w:val="en-US"/>
        </w:rPr>
        <w:lastRenderedPageBreak/>
        <w:t>Navigating Policies and Regulations for Sustainable Urban Development</w:t>
      </w:r>
      <w:bookmarkEnd w:id="5"/>
    </w:p>
    <w:p w:rsidR="00635369" w:rsidRDefault="00635369"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We explore the important field of policy and regulatory issues in this chapter, which is vital to Bangladesh's sustainable urban growth. We map out a path towards urban transformation in line with SDG 11.1 using a multi-tiered strategy that includes government-driven programs and theoretical performance indicators in addition to local, national, and international levels of intervention.</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Local Sustainability Promotion: Encouraging Communities to Take Action</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The Urban Sustainability Foundations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Urban development's beating heart is its local communities. In accordance with Sustainable Development Goal (SDG) 11.1 this section explores the critical role grassroots policies and efforts play in promoting urban sustainability, with a particular emphasis on the deployment of the Mini Bio Gas Continuous (MBGC) system. It highlights how novel solutions like the MBGC system can thrive because local government institutions act as the cornerstone for revolutionary transformation. By actively involving and empowering the </w:t>
      </w:r>
      <w:r w:rsidRPr="00581ED7">
        <w:rPr>
          <w:rFonts w:ascii="Times New Roman" w:hAnsi="Times New Roman" w:cs="Times New Roman"/>
          <w:sz w:val="24"/>
          <w:szCs w:val="24"/>
          <w:lang w:val="en-US"/>
        </w:rPr>
        <w:lastRenderedPageBreak/>
        <w:t>community, we create the foundation for a sustainable urban future.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Organizing Communities for Transformation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Local policies and initiatives enable communities to assume responsibility for their urban surroundings, thereby promoting sustainable urban development. A sense of pride and accountability is fostered by projects such as sustainable transportation, community gardening, and trash reduction programs. Although the MBGC system is not now in use, communities can be informed and ready for its possible integration in the future.</w:t>
      </w:r>
    </w:p>
    <w:p w:rsidR="00581ED7" w:rsidRPr="00640522" w:rsidRDefault="00581ED7" w:rsidP="00BA7002">
      <w:pPr>
        <w:pStyle w:val="Paragrafoelenco"/>
        <w:numPr>
          <w:ilvl w:val="0"/>
          <w:numId w:val="23"/>
        </w:numPr>
        <w:jc w:val="both"/>
        <w:rPr>
          <w:rFonts w:ascii="Times New Roman" w:hAnsi="Times New Roman" w:cs="Times New Roman"/>
          <w:sz w:val="24"/>
          <w:szCs w:val="24"/>
        </w:rPr>
      </w:pPr>
      <w:r w:rsidRPr="00640522">
        <w:rPr>
          <w:rFonts w:ascii="Times New Roman" w:hAnsi="Times New Roman" w:cs="Times New Roman"/>
          <w:sz w:val="24"/>
          <w:szCs w:val="24"/>
        </w:rPr>
        <w:t>Building Community Capacity and Educating Them about MBGC: It is crucial to arm communities with the information and resources they require to adopt sustainable practises in general and MBGC in particular. In the event that biogas production and utilisation are used in the future, people will be able to make informed decisions thanks to workshops, training courses, and awareness campaigns on the subject.</w:t>
      </w:r>
    </w:p>
    <w:p w:rsidR="00581ED7" w:rsidRPr="00640522" w:rsidRDefault="00581ED7" w:rsidP="00BA7002">
      <w:pPr>
        <w:pStyle w:val="Paragrafoelenco"/>
        <w:numPr>
          <w:ilvl w:val="0"/>
          <w:numId w:val="23"/>
        </w:numPr>
        <w:jc w:val="both"/>
        <w:rPr>
          <w:rFonts w:ascii="Times New Roman" w:hAnsi="Times New Roman" w:cs="Times New Roman"/>
          <w:sz w:val="24"/>
          <w:szCs w:val="24"/>
        </w:rPr>
      </w:pPr>
      <w:r w:rsidRPr="00640522">
        <w:rPr>
          <w:rFonts w:ascii="Times New Roman" w:hAnsi="Times New Roman" w:cs="Times New Roman"/>
          <w:sz w:val="24"/>
          <w:szCs w:val="24"/>
        </w:rPr>
        <w:t xml:space="preserve">Decision-Making for SDG 11.1 That Is Inclusive: Prioritizing inclusion and community input in local governance systems guarantees that choices regarding urban development, particularly housing </w:t>
      </w:r>
      <w:r w:rsidRPr="00640522">
        <w:rPr>
          <w:rFonts w:ascii="Times New Roman" w:hAnsi="Times New Roman" w:cs="Times New Roman"/>
          <w:sz w:val="24"/>
          <w:szCs w:val="24"/>
        </w:rPr>
        <w:lastRenderedPageBreak/>
        <w:t>(SDG 11.1), take into account the varied needs and ambitions of the local populace. The acceptance and incorporation of cutting-edge technologies like the MBGC system are also examples of this inclusivity.</w:t>
      </w:r>
    </w:p>
    <w:p w:rsidR="00581ED7" w:rsidRPr="00640522" w:rsidRDefault="00581ED7" w:rsidP="00BA7002">
      <w:pPr>
        <w:pStyle w:val="Paragrafoelenco"/>
        <w:numPr>
          <w:ilvl w:val="0"/>
          <w:numId w:val="23"/>
        </w:numPr>
        <w:jc w:val="both"/>
        <w:rPr>
          <w:rFonts w:ascii="Times New Roman" w:hAnsi="Times New Roman" w:cs="Times New Roman"/>
          <w:sz w:val="24"/>
          <w:szCs w:val="24"/>
        </w:rPr>
      </w:pPr>
      <w:r w:rsidRPr="00640522">
        <w:rPr>
          <w:rFonts w:ascii="Times New Roman" w:hAnsi="Times New Roman" w:cs="Times New Roman"/>
          <w:sz w:val="24"/>
          <w:szCs w:val="24"/>
        </w:rPr>
        <w:t>Presenting MBGC as a Sustainable Housing Model: Local communities' pilot programs provide real-world examples of sustainable practises. Communities may see directly how this technology can support energy production and the achievement of SDG 11.1 targets by incorporating the MBGC system into housing projects.</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Coordinating National Urban Resilience Strategies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Linking Urban Sustainability with National Policies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Coherent national policies are essential for directing urban growth in the direction of sustainability. In light of Sustainable Development Goal (SDG) 11.1 in particular, this section assesses how national frameworks in Bangladesh might be modified to incorporate innovative technologies such as the MBGC system. Through the alignment of national policy with cutting-edge energy technologies like MBGC, governments can take the lead in transforming urban landscapes.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Balancing the Goals and the Action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Including MBGC in Federal Energy Policy: Sustainable urban development is ensured by national energy policies that incorporate the adoption and promotion of technologies such as the MBGC system. This integration is in keeping with SDG 11.1's specific targets as well as more general national goals for social justice, environmental preservation, and economic prosperity.</w:t>
      </w:r>
    </w:p>
    <w:p w:rsidR="00581ED7" w:rsidRPr="00640522" w:rsidRDefault="00581ED7" w:rsidP="00BA7002">
      <w:pPr>
        <w:pStyle w:val="Paragrafoelenco"/>
        <w:numPr>
          <w:ilvl w:val="0"/>
          <w:numId w:val="22"/>
        </w:numPr>
        <w:jc w:val="both"/>
        <w:rPr>
          <w:rFonts w:ascii="Times New Roman" w:hAnsi="Times New Roman" w:cs="Times New Roman"/>
          <w:sz w:val="24"/>
          <w:szCs w:val="24"/>
        </w:rPr>
      </w:pPr>
      <w:r w:rsidRPr="00640522">
        <w:rPr>
          <w:rFonts w:ascii="Times New Roman" w:hAnsi="Times New Roman" w:cs="Times New Roman"/>
          <w:sz w:val="24"/>
          <w:szCs w:val="24"/>
        </w:rPr>
        <w:t>Regulatory Frameworks for Energy and Housing Sustainability: SDG 11.1's overarching objectives are supported by the establishment of legislative frameworks that provide incentives for the incorporation of sustainable energy solutions, such as MBGC, into housing projects. Particularly in the context of housing and energy resilience, these frameworks foster a technology and innovation environment that is favorable to going green.</w:t>
      </w:r>
    </w:p>
    <w:p w:rsidR="00581ED7" w:rsidRPr="00640522" w:rsidRDefault="00581ED7" w:rsidP="00BA7002">
      <w:pPr>
        <w:pStyle w:val="Paragrafoelenco"/>
        <w:numPr>
          <w:ilvl w:val="0"/>
          <w:numId w:val="22"/>
        </w:numPr>
        <w:jc w:val="both"/>
        <w:rPr>
          <w:rFonts w:ascii="Times New Roman" w:hAnsi="Times New Roman" w:cs="Times New Roman"/>
          <w:sz w:val="24"/>
          <w:szCs w:val="24"/>
        </w:rPr>
      </w:pPr>
      <w:r w:rsidRPr="00640522">
        <w:rPr>
          <w:rFonts w:ascii="Times New Roman" w:hAnsi="Times New Roman" w:cs="Times New Roman"/>
          <w:sz w:val="24"/>
          <w:szCs w:val="24"/>
        </w:rPr>
        <w:t>Finance and Investment for Sustainable Technologies: When it comes to raising capital for the creation and application of cutting-edge technologies such as MBGC, national governments are essential. Urban sustainability and resilience are promoted via funding for these technologies' development, research, and implementation.</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Trailblazing on the Global Scale: Partnerships and Consortships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lastRenderedPageBreak/>
        <w:t>Worldwide Collaborations for Urban Sustainability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Transcending national boundaries, international cooperation is essential to creating sustainable urban futures. With reference to Sustainable Development Goal (SDG) 11.1 in particular, this section examines how Bangladesh might take use of international collaborations to quicken the implementation of cutting-edge technologies such as the MBGC system. Bangladesh establishes itself as a pioneer in urban resilience and sustainability by actively engaging in international discussions, exchanging best practises, and supporting global sustainability initiatives.</w:t>
      </w:r>
    </w:p>
    <w:p w:rsidR="00581ED7" w:rsidRPr="00640522" w:rsidRDefault="00581ED7" w:rsidP="00BA7002">
      <w:pPr>
        <w:jc w:val="both"/>
        <w:rPr>
          <w:rFonts w:ascii="Times New Roman" w:hAnsi="Times New Roman" w:cs="Times New Roman"/>
          <w:b/>
          <w:sz w:val="24"/>
          <w:szCs w:val="24"/>
        </w:rPr>
      </w:pPr>
      <w:r w:rsidRPr="00640522">
        <w:rPr>
          <w:rFonts w:ascii="Times New Roman" w:hAnsi="Times New Roman" w:cs="Times New Roman"/>
          <w:b/>
          <w:sz w:val="24"/>
          <w:szCs w:val="24"/>
        </w:rPr>
        <w:t>Expectant International Alliances</w:t>
      </w:r>
    </w:p>
    <w:p w:rsidR="00581ED7" w:rsidRPr="00640522" w:rsidRDefault="00581ED7" w:rsidP="00BA7002">
      <w:pPr>
        <w:pStyle w:val="Paragrafoelenco"/>
        <w:numPr>
          <w:ilvl w:val="0"/>
          <w:numId w:val="21"/>
        </w:numPr>
        <w:jc w:val="both"/>
        <w:rPr>
          <w:rFonts w:ascii="Times New Roman" w:hAnsi="Times New Roman" w:cs="Times New Roman"/>
          <w:sz w:val="24"/>
          <w:szCs w:val="24"/>
        </w:rPr>
      </w:pPr>
      <w:r w:rsidRPr="00640522">
        <w:rPr>
          <w:rFonts w:ascii="Times New Roman" w:hAnsi="Times New Roman" w:cs="Times New Roman"/>
          <w:sz w:val="24"/>
          <w:szCs w:val="24"/>
        </w:rPr>
        <w:t>Looking Forward to Sharing Knowledge on MBGC and Eco-Friendly Housing Practises: Making international arrangements for cooperation helps to share best practises, information, and experience in urban sustainability, especially when it comes to MBGC adoption. In the event that MBGC is used in the future, this enhances the local environment by bringing in global perspectives and experiences.</w:t>
      </w:r>
    </w:p>
    <w:p w:rsidR="00581ED7" w:rsidRPr="00640522" w:rsidRDefault="00581ED7" w:rsidP="00BA7002">
      <w:pPr>
        <w:pStyle w:val="Paragrafoelenco"/>
        <w:numPr>
          <w:ilvl w:val="0"/>
          <w:numId w:val="21"/>
        </w:numPr>
        <w:jc w:val="both"/>
        <w:rPr>
          <w:rFonts w:ascii="Times New Roman" w:hAnsi="Times New Roman" w:cs="Times New Roman"/>
          <w:sz w:val="24"/>
          <w:szCs w:val="24"/>
        </w:rPr>
      </w:pPr>
      <w:r w:rsidRPr="00640522">
        <w:rPr>
          <w:rFonts w:ascii="Times New Roman" w:hAnsi="Times New Roman" w:cs="Times New Roman"/>
          <w:sz w:val="24"/>
          <w:szCs w:val="24"/>
        </w:rPr>
        <w:t xml:space="preserve">Getting Ready for Potential Technology Transfer for Sustainable Urban Solutions: Bangladesh can </w:t>
      </w:r>
      <w:r w:rsidRPr="00640522">
        <w:rPr>
          <w:rFonts w:ascii="Times New Roman" w:hAnsi="Times New Roman" w:cs="Times New Roman"/>
          <w:sz w:val="24"/>
          <w:szCs w:val="24"/>
        </w:rPr>
        <w:lastRenderedPageBreak/>
        <w:t>get ready to help transfer state-of-the-art technologies in order to accelerate its pursuit of sustainable urban development. This is in anticipation of future partnerships with foreign entities. In the event that the MBGC system is ever put into use, this also covers its acceptance and modification.</w:t>
      </w:r>
    </w:p>
    <w:p w:rsidR="00581ED7" w:rsidRPr="00640522" w:rsidRDefault="00581ED7" w:rsidP="00BA7002">
      <w:pPr>
        <w:pStyle w:val="Paragrafoelenco"/>
        <w:numPr>
          <w:ilvl w:val="0"/>
          <w:numId w:val="21"/>
        </w:numPr>
        <w:jc w:val="both"/>
        <w:rPr>
          <w:rFonts w:ascii="Times New Roman" w:hAnsi="Times New Roman" w:cs="Times New Roman"/>
          <w:sz w:val="24"/>
          <w:szCs w:val="24"/>
        </w:rPr>
      </w:pPr>
      <w:r w:rsidRPr="00640522">
        <w:rPr>
          <w:rFonts w:ascii="Times New Roman" w:hAnsi="Times New Roman" w:cs="Times New Roman"/>
          <w:sz w:val="24"/>
          <w:szCs w:val="24"/>
        </w:rPr>
        <w:t>Promoting Agendas for Future Global Urban Sustainability: Bangladesh is better equipped to promote international policies that support urban sustainability by actively participating in international forums, even as a means of preparing for possible future implementation. This helps the country's efforts to work together towards a more sustainable future. This entails promoting laws and programs that support SDG 11.1 objectives as well as the prospective worldwide use of MBGC-compatible technology in the future.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Bangladesh is positioning itself as a leader in urban resilience and sustainability by taking proactive steps to prepare for the possible deployment of the MBGC system.</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Government Programs and Initiatives: Catalyzing Change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Developing Innovation with Well-Timed Interventions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Programs and initiatives run by the government are essential for stimulating innovation and advancing sustainable urban development. The possible effects of such activities in Bangladesh are emphasized in this section, with particular attention paid to technologies such as the Mini Bio Gas Continuous (MBGC) system and how they connect with SDG 11.1 objectives. Although these technologies are not now in use, it is essential for their future adoption to comprehend the supportive framework that government programs may provide. Governments facilitate widespread adoption by offering the required incentives and assistance.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Highlighting Important Projects in Bangladesh</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Awards for Research and Development on Sustainable Technologies: In advance of the possible use of MBGC, government-funded awards for research and development can be formed to promote creativity in the renewable energy sector. In keeping with the overarching objective of accomplishing SDG 11.1, these grants can be specifically designed to support initiatives that investigate the viability and efficacy of technologies such as MBGC.</w:t>
      </w:r>
    </w:p>
    <w:p w:rsidR="00581ED7" w:rsidRPr="00640522" w:rsidRDefault="00581ED7" w:rsidP="00BA7002">
      <w:pPr>
        <w:pStyle w:val="Paragrafoelenco"/>
        <w:numPr>
          <w:ilvl w:val="0"/>
          <w:numId w:val="20"/>
        </w:numPr>
        <w:jc w:val="both"/>
        <w:rPr>
          <w:rFonts w:ascii="Times New Roman" w:hAnsi="Times New Roman" w:cs="Times New Roman"/>
          <w:sz w:val="24"/>
          <w:szCs w:val="24"/>
        </w:rPr>
      </w:pPr>
      <w:r w:rsidRPr="00640522">
        <w:rPr>
          <w:rFonts w:ascii="Times New Roman" w:hAnsi="Times New Roman" w:cs="Times New Roman"/>
          <w:sz w:val="24"/>
          <w:szCs w:val="24"/>
        </w:rPr>
        <w:t xml:space="preserve">Workshops on Capacity-Building for Sustainable Solutions: The government might arrange workshops on capacity-building in advance of the </w:t>
      </w:r>
      <w:r w:rsidRPr="00640522">
        <w:rPr>
          <w:rFonts w:ascii="Times New Roman" w:hAnsi="Times New Roman" w:cs="Times New Roman"/>
          <w:sz w:val="24"/>
          <w:szCs w:val="24"/>
        </w:rPr>
        <w:lastRenderedPageBreak/>
        <w:t>deployment of new technologies like MBGC. Through these workshops, stakeholders will get a deeper understanding and preparedness for the future adoption of technologies like MBGC by learning about its advantages and applications.</w:t>
      </w:r>
    </w:p>
    <w:p w:rsidR="00581ED7" w:rsidRPr="00640522" w:rsidRDefault="00581ED7" w:rsidP="00BA7002">
      <w:pPr>
        <w:pStyle w:val="Paragrafoelenco"/>
        <w:numPr>
          <w:ilvl w:val="0"/>
          <w:numId w:val="20"/>
        </w:numPr>
        <w:jc w:val="both"/>
        <w:rPr>
          <w:rFonts w:ascii="Times New Roman" w:hAnsi="Times New Roman" w:cs="Times New Roman"/>
          <w:sz w:val="24"/>
          <w:szCs w:val="24"/>
        </w:rPr>
      </w:pPr>
      <w:r w:rsidRPr="00640522">
        <w:rPr>
          <w:rFonts w:ascii="Times New Roman" w:hAnsi="Times New Roman" w:cs="Times New Roman"/>
          <w:sz w:val="24"/>
          <w:szCs w:val="24"/>
        </w:rPr>
        <w:t>Policy Frameworks Promoting Sustainable Housing: Despite the fact that SDG 11.1 has not yet been completely implemented, governments should take proactive steps to establish frameworks that give sustainable housing top priority. When new technologies like MBGC are prepared for use, these frameworks can pave the way for their seamless integration.</w:t>
      </w:r>
    </w:p>
    <w:p w:rsidR="00581ED7" w:rsidRPr="00640522" w:rsidRDefault="00581ED7" w:rsidP="00BA7002">
      <w:pPr>
        <w:pStyle w:val="Paragrafoelenco"/>
        <w:numPr>
          <w:ilvl w:val="0"/>
          <w:numId w:val="20"/>
        </w:numPr>
        <w:jc w:val="both"/>
        <w:rPr>
          <w:rFonts w:ascii="Times New Roman" w:hAnsi="Times New Roman" w:cs="Times New Roman"/>
          <w:sz w:val="24"/>
          <w:szCs w:val="24"/>
        </w:rPr>
      </w:pPr>
      <w:r w:rsidRPr="00640522">
        <w:rPr>
          <w:rFonts w:ascii="Times New Roman" w:hAnsi="Times New Roman" w:cs="Times New Roman"/>
          <w:sz w:val="24"/>
          <w:szCs w:val="24"/>
        </w:rPr>
        <w:t>Incentives for Private Sector Collaboration: Governments might provide incentives for private sector collaboration in order to hasten the adoption of technologies such as MBGC. This can take the form of subsidies, tax breaks, or preferred procurement practises for companies that actively work on developing and possibly implementing technologies that are in line with SDG 11.1 specifications.</w:t>
      </w:r>
    </w:p>
    <w:p w:rsidR="00581ED7" w:rsidRPr="00640522" w:rsidRDefault="00581ED7" w:rsidP="00BA7002">
      <w:pPr>
        <w:pStyle w:val="Paragrafoelenco"/>
        <w:numPr>
          <w:ilvl w:val="0"/>
          <w:numId w:val="20"/>
        </w:numPr>
        <w:jc w:val="both"/>
        <w:rPr>
          <w:rFonts w:ascii="Times New Roman" w:hAnsi="Times New Roman" w:cs="Times New Roman"/>
          <w:sz w:val="24"/>
          <w:szCs w:val="24"/>
        </w:rPr>
      </w:pPr>
      <w:r w:rsidRPr="00640522">
        <w:rPr>
          <w:rFonts w:ascii="Times New Roman" w:hAnsi="Times New Roman" w:cs="Times New Roman"/>
          <w:sz w:val="24"/>
          <w:szCs w:val="24"/>
        </w:rPr>
        <w:t xml:space="preserve">Public Awareness Campaigns on Future Technologies: Even prior to the actual adoption of technologies such as MBGC, governments might initiate campaigns aimed at bringing attention to </w:t>
      </w:r>
      <w:r w:rsidRPr="00640522">
        <w:rPr>
          <w:rFonts w:ascii="Times New Roman" w:hAnsi="Times New Roman" w:cs="Times New Roman"/>
          <w:sz w:val="24"/>
          <w:szCs w:val="24"/>
        </w:rPr>
        <w:lastRenderedPageBreak/>
        <w:t>the prospective advantages of these innovations. These kinds of initiatives help to build up the community's sense of excitement and preparedness for the arrival of these kinds of cutting-edge solutions.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Governments have the ability to start pilot projects that serve as examples of the viability and advantages of technologies such as MBGC. These initiatives provide concrete illustrations of how such technologies might support SDG 11.1 and sustainable urban development.</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Metrics for Theoretical Performance: Assessing Urban Sustainability</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Assessing Advancement Towards SDG 11.1</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In the context of Sustainable Development Goal (SDG) 11.1 in particular, theoretical performance measures offer a useful framework for evaluating the possible effects of novel technologies, such the Mini Bio Gas Continuous (MBGC) system, on urban sustainability. Although Bangladesh has not yet adopted these technologies, it is imperative to lay the groundwork for a subsequent assessment. This section presents a methodology for assessing how well technologies such as MBGC contribute to the attainment of SDG 11.1 goals. We </w:t>
      </w:r>
      <w:r w:rsidRPr="00581ED7">
        <w:rPr>
          <w:rFonts w:ascii="Times New Roman" w:hAnsi="Times New Roman" w:cs="Times New Roman"/>
          <w:sz w:val="24"/>
          <w:szCs w:val="24"/>
          <w:lang w:val="en-US"/>
        </w:rPr>
        <w:lastRenderedPageBreak/>
        <w:t>guarantee accountability and promote ongoing improvement through the quantification of progress.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Presenting the Framework for Performance Evaluation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SDG 11.1, "Access to Adequate Housing," measures how much safe, secure, and reasonably priced housing a community has access to. Within the framework of MBGC, it evaluates if the adoption of this technology results in better living conditions by offering a sustainable energy source for home requirements like lighting and heating.</w:t>
      </w:r>
    </w:p>
    <w:p w:rsidR="00581ED7" w:rsidRPr="00640522" w:rsidRDefault="00581ED7" w:rsidP="00BA7002">
      <w:pPr>
        <w:pStyle w:val="Paragrafoelenco"/>
        <w:numPr>
          <w:ilvl w:val="0"/>
          <w:numId w:val="19"/>
        </w:numPr>
        <w:jc w:val="both"/>
        <w:rPr>
          <w:rFonts w:ascii="Times New Roman" w:hAnsi="Times New Roman" w:cs="Times New Roman"/>
          <w:sz w:val="24"/>
          <w:szCs w:val="24"/>
        </w:rPr>
      </w:pPr>
      <w:r w:rsidRPr="00640522">
        <w:rPr>
          <w:rFonts w:ascii="Times New Roman" w:hAnsi="Times New Roman" w:cs="Times New Roman"/>
          <w:sz w:val="24"/>
          <w:szCs w:val="24"/>
        </w:rPr>
        <w:t>Diminution of Environmental Effects: This indicator assesses the possible decrease in pollution and environmental deterioration brought about by the use of technologies such as MBGC. It takes into account things like less dependence on non-renewable energy sources, effective waste management, and less greenhouse gas emissions.</w:t>
      </w:r>
    </w:p>
    <w:p w:rsidR="00581ED7" w:rsidRPr="00640522" w:rsidRDefault="00581ED7" w:rsidP="00BA7002">
      <w:pPr>
        <w:pStyle w:val="Paragrafoelenco"/>
        <w:numPr>
          <w:ilvl w:val="0"/>
          <w:numId w:val="19"/>
        </w:numPr>
        <w:jc w:val="both"/>
        <w:rPr>
          <w:rFonts w:ascii="Times New Roman" w:hAnsi="Times New Roman" w:cs="Times New Roman"/>
          <w:sz w:val="24"/>
          <w:szCs w:val="24"/>
        </w:rPr>
      </w:pPr>
      <w:r w:rsidRPr="00640522">
        <w:rPr>
          <w:rFonts w:ascii="Times New Roman" w:hAnsi="Times New Roman" w:cs="Times New Roman"/>
          <w:sz w:val="24"/>
          <w:szCs w:val="24"/>
        </w:rPr>
        <w:t>Community Resilience to Energy Shocks: This statistic evaluates how a community becomes more resilient to disturbances in the energy supply when new technologies such as MBGC are implemented.</w:t>
      </w:r>
    </w:p>
    <w:p w:rsidR="00581ED7" w:rsidRPr="00640522" w:rsidRDefault="00581ED7" w:rsidP="00BA7002">
      <w:pPr>
        <w:pStyle w:val="Paragrafoelenco"/>
        <w:numPr>
          <w:ilvl w:val="0"/>
          <w:numId w:val="19"/>
        </w:numPr>
        <w:jc w:val="both"/>
        <w:rPr>
          <w:rFonts w:ascii="Times New Roman" w:hAnsi="Times New Roman" w:cs="Times New Roman"/>
          <w:sz w:val="24"/>
          <w:szCs w:val="24"/>
        </w:rPr>
      </w:pPr>
      <w:r w:rsidRPr="00640522">
        <w:rPr>
          <w:rFonts w:ascii="Times New Roman" w:hAnsi="Times New Roman" w:cs="Times New Roman"/>
          <w:sz w:val="24"/>
          <w:szCs w:val="24"/>
        </w:rPr>
        <w:t xml:space="preserve">Economic Empowerment and Affordability: This indicator looks at how communities are affected </w:t>
      </w:r>
      <w:r w:rsidRPr="00640522">
        <w:rPr>
          <w:rFonts w:ascii="Times New Roman" w:hAnsi="Times New Roman" w:cs="Times New Roman"/>
          <w:sz w:val="24"/>
          <w:szCs w:val="24"/>
        </w:rPr>
        <w:lastRenderedPageBreak/>
        <w:t>financially by technologies such as MBGC. It takes into account things like the creation of jobs, financial savings from lower energy costs, and an increase in housing affordability as a result of sustainable energy solutions.</w:t>
      </w:r>
    </w:p>
    <w:p w:rsidR="00581ED7" w:rsidRPr="00640522" w:rsidRDefault="00581ED7" w:rsidP="00BA7002">
      <w:pPr>
        <w:pStyle w:val="Paragrafoelenco"/>
        <w:numPr>
          <w:ilvl w:val="0"/>
          <w:numId w:val="19"/>
        </w:numPr>
        <w:jc w:val="both"/>
        <w:rPr>
          <w:rFonts w:ascii="Times New Roman" w:hAnsi="Times New Roman" w:cs="Times New Roman"/>
          <w:sz w:val="24"/>
          <w:szCs w:val="24"/>
        </w:rPr>
      </w:pPr>
      <w:r w:rsidRPr="00640522">
        <w:rPr>
          <w:rFonts w:ascii="Times New Roman" w:hAnsi="Times New Roman" w:cs="Times New Roman"/>
          <w:sz w:val="24"/>
          <w:szCs w:val="24"/>
        </w:rPr>
        <w:t>Community Ownership and Engagement: This indicator assesses the degree of community ownership and involvement in the adoption of MBGC-like technology. It takes into account elements like involvement in decision-making procedures, awareness-raising and educational campaigns, and the creation of neighborhood-based sustainable energy projects.</w:t>
      </w:r>
    </w:p>
    <w:p w:rsidR="00581ED7" w:rsidRPr="00640522" w:rsidRDefault="00581ED7" w:rsidP="00BA7002">
      <w:pPr>
        <w:pStyle w:val="Paragrafoelenco"/>
        <w:numPr>
          <w:ilvl w:val="0"/>
          <w:numId w:val="19"/>
        </w:numPr>
        <w:jc w:val="both"/>
        <w:rPr>
          <w:rFonts w:ascii="Times New Roman" w:hAnsi="Times New Roman" w:cs="Times New Roman"/>
          <w:sz w:val="24"/>
          <w:szCs w:val="24"/>
        </w:rPr>
      </w:pPr>
      <w:r w:rsidRPr="00640522">
        <w:rPr>
          <w:rFonts w:ascii="Times New Roman" w:hAnsi="Times New Roman" w:cs="Times New Roman"/>
          <w:sz w:val="24"/>
          <w:szCs w:val="24"/>
        </w:rPr>
        <w:t>Long-term Sustainability and Scalability: The potential for long-term sustainability and scalability of technologies such as MBGC is examined in this metric.</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Policies and regulations serve as the glue that links visionary concepts and realistic execution together in the field of sustainable urban development. Bangladesh is ideally positioned to take the lead in transforming its urban landscape in accordance with SDG 11.1 through coordinated efforts at the local, national, and international levels, in addition to strategic government interventions </w:t>
      </w:r>
      <w:r w:rsidRPr="00581ED7">
        <w:rPr>
          <w:rFonts w:ascii="Times New Roman" w:hAnsi="Times New Roman" w:cs="Times New Roman"/>
          <w:sz w:val="24"/>
          <w:szCs w:val="24"/>
          <w:lang w:val="en-US"/>
        </w:rPr>
        <w:lastRenderedPageBreak/>
        <w:t>and performance evaluations. As we manoeuvre through this ever-changing terrain, let us never forget that real power comes not only from imagining a sustainable future but also from the conscious steps we take to make it happen.</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b/>
          <w:sz w:val="24"/>
          <w:szCs w:val="24"/>
          <w:u w:val="single"/>
          <w:lang w:val="en-US"/>
        </w:rPr>
      </w:pPr>
    </w:p>
    <w:p w:rsidR="00581ED7" w:rsidRPr="00581ED7" w:rsidRDefault="00581ED7" w:rsidP="00BA7002">
      <w:pPr>
        <w:jc w:val="both"/>
        <w:rPr>
          <w:rFonts w:ascii="Times New Roman" w:hAnsi="Times New Roman" w:cs="Times New Roman"/>
          <w:b/>
          <w:sz w:val="24"/>
          <w:szCs w:val="24"/>
          <w:u w:val="single"/>
          <w:lang w:val="en-US"/>
        </w:rPr>
      </w:pPr>
    </w:p>
    <w:p w:rsidR="00581ED7" w:rsidRDefault="00581ED7" w:rsidP="00635369">
      <w:pPr>
        <w:pStyle w:val="Titolo1"/>
        <w:rPr>
          <w:lang w:val="en-US"/>
        </w:rPr>
      </w:pPr>
      <w:bookmarkStart w:id="6" w:name="_Toc150285335"/>
      <w:r w:rsidRPr="00581ED7">
        <w:rPr>
          <w:lang w:val="en-US"/>
        </w:rPr>
        <w:lastRenderedPageBreak/>
        <w:t>Pioneering Sustainable Urban Solutions: Navigating Challenges and Embracing Opportunities</w:t>
      </w:r>
      <w:bookmarkEnd w:id="6"/>
    </w:p>
    <w:p w:rsidR="00635369" w:rsidRPr="00635369" w:rsidRDefault="00635369" w:rsidP="00635369">
      <w:pPr>
        <w:rPr>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This chapter takes us on a journey to investigate the possible obstacles, knowledge gaps, and several advantages related to the potential integration of Mini Bio Gas Continuous (MBGC) technology under Bangladesh's Sustainable Development Goal (SDG) 11.1. This novel strategy has a great deal of potential for changing urban surroundings, even though it has not yet been put into practise.</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Technological Developments and Upcoming Patterns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Imagining the Urban Landscape of the Future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sz w:val="24"/>
          <w:szCs w:val="24"/>
          <w:lang w:val="en-US"/>
        </w:rPr>
        <w:t>This section sets out on a visionary trip by speculating about future technical developments that have the potential to completely transform sustainable urban development in Bangladesh. Although Sustainable Development Goal (SDG) 11.1 and Mini Bio Gas Continuous (MBGC) have not yet been put into practise, it is important to consider how these technologies might change in the future to satisfy the changing needs of urban areas.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lastRenderedPageBreak/>
        <w:t>New Developments in Technology for Sustainable Urban Planning</w:t>
      </w:r>
    </w:p>
    <w:p w:rsidR="00581ED7" w:rsidRPr="00640522" w:rsidRDefault="00581ED7" w:rsidP="00BA7002">
      <w:pPr>
        <w:pStyle w:val="Paragrafoelenco"/>
        <w:numPr>
          <w:ilvl w:val="0"/>
          <w:numId w:val="18"/>
        </w:numPr>
        <w:jc w:val="both"/>
        <w:rPr>
          <w:rFonts w:ascii="Times New Roman" w:hAnsi="Times New Roman" w:cs="Times New Roman"/>
          <w:b/>
          <w:sz w:val="24"/>
          <w:szCs w:val="24"/>
        </w:rPr>
      </w:pPr>
      <w:r w:rsidRPr="00640522">
        <w:rPr>
          <w:rFonts w:ascii="Times New Roman" w:hAnsi="Times New Roman" w:cs="Times New Roman"/>
          <w:sz w:val="24"/>
          <w:szCs w:val="24"/>
        </w:rPr>
        <w:t>Sensible Integration of Renewable Energy Sources: In light of potential future developments, there may be a significant advancement in the integration of renewable energy sources in metropolitan settings. This entails using solar, wind, and other renewable energy sources more widely in addition to using biogas from technologies like MBGC to power infrastructure, businesses, and residences.</w:t>
      </w:r>
    </w:p>
    <w:p w:rsidR="00581ED7" w:rsidRPr="00640522" w:rsidRDefault="00581ED7" w:rsidP="00BA7002">
      <w:pPr>
        <w:pStyle w:val="Paragrafoelenco"/>
        <w:numPr>
          <w:ilvl w:val="0"/>
          <w:numId w:val="18"/>
        </w:numPr>
        <w:jc w:val="both"/>
        <w:rPr>
          <w:rFonts w:ascii="Times New Roman" w:hAnsi="Times New Roman" w:cs="Times New Roman"/>
          <w:sz w:val="24"/>
          <w:szCs w:val="24"/>
        </w:rPr>
      </w:pPr>
      <w:r w:rsidRPr="00640522">
        <w:rPr>
          <w:rFonts w:ascii="Times New Roman" w:hAnsi="Times New Roman" w:cs="Times New Roman"/>
          <w:sz w:val="24"/>
          <w:szCs w:val="24"/>
        </w:rPr>
        <w:t>Advanced Waste-to-Energy Technologies: Going forward, waste-to-energy technologies should become even more advanced. These developments might improve methods for recovering energy from organic waste, which could result in increased productivity and resource recovery. MBGC may be essential to the changing terrain.</w:t>
      </w:r>
    </w:p>
    <w:p w:rsidR="00581ED7" w:rsidRPr="00640522" w:rsidRDefault="00581ED7" w:rsidP="00BA7002">
      <w:pPr>
        <w:pStyle w:val="Paragrafoelenco"/>
        <w:numPr>
          <w:ilvl w:val="0"/>
          <w:numId w:val="18"/>
        </w:numPr>
        <w:jc w:val="both"/>
        <w:rPr>
          <w:rFonts w:ascii="Times New Roman" w:hAnsi="Times New Roman" w:cs="Times New Roman"/>
          <w:sz w:val="24"/>
          <w:szCs w:val="24"/>
        </w:rPr>
      </w:pPr>
      <w:r w:rsidRPr="00640522">
        <w:rPr>
          <w:rFonts w:ascii="Times New Roman" w:hAnsi="Times New Roman" w:cs="Times New Roman"/>
          <w:sz w:val="24"/>
          <w:szCs w:val="24"/>
        </w:rPr>
        <w:t>AI-Driven Urban Planning and Resource Management: As artificial intelligence (AI) advances, resource management and urban planning may become more accurate and flexible. SDG 11.1's objectives might be ideally aligned with predictive analytics and machine learning algorithms that optimize waste management, energy consumption, and infrastructure design.</w:t>
      </w:r>
    </w:p>
    <w:p w:rsidR="00581ED7" w:rsidRPr="00640522" w:rsidRDefault="00581ED7" w:rsidP="00BA7002">
      <w:pPr>
        <w:pStyle w:val="Paragrafoelenco"/>
        <w:numPr>
          <w:ilvl w:val="0"/>
          <w:numId w:val="18"/>
        </w:numPr>
        <w:jc w:val="both"/>
        <w:rPr>
          <w:rFonts w:ascii="Times New Roman" w:hAnsi="Times New Roman" w:cs="Times New Roman"/>
          <w:sz w:val="24"/>
          <w:szCs w:val="24"/>
        </w:rPr>
      </w:pPr>
      <w:r w:rsidRPr="00640522">
        <w:rPr>
          <w:rFonts w:ascii="Times New Roman" w:hAnsi="Times New Roman" w:cs="Times New Roman"/>
          <w:sz w:val="24"/>
          <w:szCs w:val="24"/>
        </w:rPr>
        <w:lastRenderedPageBreak/>
        <w:t>Green Building and Infrastructure Standards: As sustainability becomes more popular, it's possible that green building standards will be widely embraced in the future. Urban landscapes could be redefined by advances in sustainable practises, energy-efficient designs, and building materials, making them more resilient and eco-friendly.</w:t>
      </w:r>
    </w:p>
    <w:p w:rsidR="00581ED7" w:rsidRPr="00640522" w:rsidRDefault="00581ED7" w:rsidP="00BA7002">
      <w:pPr>
        <w:pStyle w:val="Paragrafoelenco"/>
        <w:numPr>
          <w:ilvl w:val="0"/>
          <w:numId w:val="18"/>
        </w:numPr>
        <w:jc w:val="both"/>
        <w:rPr>
          <w:rFonts w:ascii="Times New Roman" w:hAnsi="Times New Roman" w:cs="Times New Roman"/>
          <w:sz w:val="24"/>
          <w:szCs w:val="24"/>
        </w:rPr>
      </w:pPr>
      <w:r w:rsidRPr="00640522">
        <w:rPr>
          <w:rFonts w:ascii="Times New Roman" w:hAnsi="Times New Roman" w:cs="Times New Roman"/>
          <w:sz w:val="24"/>
          <w:szCs w:val="24"/>
        </w:rPr>
        <w:t>Enhanced Digital Platforms for Community Engagement: Technological developments may make it easier for communities to become more involved in urban planning. By enabling citizens to actively engage in decision-making processes, digital platforms and virtual communication tools can guarantee that programs like MBGC are carried out in ways that best meet local needs.</w:t>
      </w:r>
    </w:p>
    <w:p w:rsidR="00581ED7" w:rsidRPr="00640522" w:rsidRDefault="00581ED7" w:rsidP="00BA7002">
      <w:pPr>
        <w:pStyle w:val="Paragrafoelenco"/>
        <w:numPr>
          <w:ilvl w:val="0"/>
          <w:numId w:val="18"/>
        </w:numPr>
        <w:jc w:val="both"/>
        <w:rPr>
          <w:rFonts w:ascii="Times New Roman" w:hAnsi="Times New Roman" w:cs="Times New Roman"/>
          <w:sz w:val="24"/>
          <w:szCs w:val="24"/>
        </w:rPr>
      </w:pPr>
      <w:r w:rsidRPr="00640522">
        <w:rPr>
          <w:rFonts w:ascii="Times New Roman" w:hAnsi="Times New Roman" w:cs="Times New Roman"/>
          <w:sz w:val="24"/>
          <w:szCs w:val="24"/>
        </w:rPr>
        <w:t>Innovations in Urban Mobility and Transportation: Going forward, there might be a move towards more environmentally friendly forms of transportation. This could involve developments in electric car technology, improved public transportation, and the incorporation of environmentally friendly transportation options that lower emissions and increase accessibility.</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Looking Ahead for MBGC and SDG 11.1 Synergies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It is imperative to visualize these technical breakthroughs as we look forward to Bangladesh's implementation of MBGC and the achievement of SDG 11.1. By keeping an eye out for new developments, we can make the most of these advances and make sure that, when put into practise, MBGC effortlessly fits the changing needs of urban areas and makes a substantial contribution to the goals specified in SDG 11.1 goals. Bangladesh's urban future will be sustainable and prosperous because to this innovative strategy.</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Implementation Issues and Solutions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Making Way for a Smooth Integration</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Although the Mini Bio Gas Continuous (MBGC) system is a promising future solution for sustainable urban development, there may be obstacles in the way of its broad adoption. In particular, the goals of Sustainable Development Goal (SDG) 11.1 are specifically aligned with the MBGC's ability to blend seamlessly into urban surroundings when implemented, thanks to this section's strategic solutions and anticipation of probable obstacles.</w:t>
      </w:r>
    </w:p>
    <w:p w:rsidR="00581ED7" w:rsidRPr="00640522" w:rsidRDefault="00581ED7" w:rsidP="00BA7002">
      <w:pPr>
        <w:jc w:val="both"/>
        <w:rPr>
          <w:rFonts w:ascii="Times New Roman" w:hAnsi="Times New Roman" w:cs="Times New Roman"/>
          <w:b/>
          <w:sz w:val="24"/>
          <w:szCs w:val="24"/>
        </w:rPr>
      </w:pPr>
      <w:r w:rsidRPr="00640522">
        <w:rPr>
          <w:rFonts w:ascii="Times New Roman" w:hAnsi="Times New Roman" w:cs="Times New Roman"/>
          <w:b/>
          <w:sz w:val="24"/>
          <w:szCs w:val="24"/>
        </w:rPr>
        <w:t>Recognizing Implementation Difficulties</w:t>
      </w:r>
    </w:p>
    <w:p w:rsidR="00581ED7" w:rsidRPr="00640522" w:rsidRDefault="00581ED7" w:rsidP="00BA7002">
      <w:pPr>
        <w:pStyle w:val="Paragrafoelenco"/>
        <w:numPr>
          <w:ilvl w:val="0"/>
          <w:numId w:val="17"/>
        </w:numPr>
        <w:jc w:val="both"/>
        <w:rPr>
          <w:rFonts w:ascii="Times New Roman" w:hAnsi="Times New Roman" w:cs="Times New Roman"/>
          <w:sz w:val="24"/>
          <w:szCs w:val="24"/>
        </w:rPr>
      </w:pPr>
      <w:r w:rsidRPr="00640522">
        <w:rPr>
          <w:rFonts w:ascii="Times New Roman" w:hAnsi="Times New Roman" w:cs="Times New Roman"/>
          <w:sz w:val="24"/>
          <w:szCs w:val="24"/>
        </w:rPr>
        <w:t xml:space="preserve">Technological Maturation and Readiness: As MBGC has not yet been put into practise, one of </w:t>
      </w:r>
      <w:r w:rsidRPr="00640522">
        <w:rPr>
          <w:rFonts w:ascii="Times New Roman" w:hAnsi="Times New Roman" w:cs="Times New Roman"/>
          <w:sz w:val="24"/>
          <w:szCs w:val="24"/>
        </w:rPr>
        <w:lastRenderedPageBreak/>
        <w:t>the main challenges is making sure the technology is ready for practical uses. This entails extensive testing, optimization, and validation to ensure its dependability and efficiency in the generation of biogas.</w:t>
      </w:r>
    </w:p>
    <w:p w:rsidR="00581ED7" w:rsidRPr="00640522" w:rsidRDefault="00581ED7" w:rsidP="00BA7002">
      <w:pPr>
        <w:pStyle w:val="Paragrafoelenco"/>
        <w:numPr>
          <w:ilvl w:val="0"/>
          <w:numId w:val="17"/>
        </w:numPr>
        <w:jc w:val="both"/>
        <w:rPr>
          <w:rFonts w:ascii="Times New Roman" w:hAnsi="Times New Roman" w:cs="Times New Roman"/>
          <w:sz w:val="24"/>
          <w:szCs w:val="24"/>
        </w:rPr>
      </w:pPr>
      <w:r w:rsidRPr="00640522">
        <w:rPr>
          <w:rFonts w:ascii="Times New Roman" w:hAnsi="Times New Roman" w:cs="Times New Roman"/>
          <w:sz w:val="24"/>
          <w:szCs w:val="24"/>
        </w:rPr>
        <w:t>Infrastructure Upgrades and Compatibility: MBGC integration can require alterations to the current infrastructure. To prevent possible conflicts and guarantee a smooth transition, interoperability with existing urban systems, such as trash management and electricity distribution, is essential.</w:t>
      </w:r>
    </w:p>
    <w:p w:rsidR="00581ED7" w:rsidRPr="00640522" w:rsidRDefault="00581ED7" w:rsidP="00BA7002">
      <w:pPr>
        <w:pStyle w:val="Paragrafoelenco"/>
        <w:numPr>
          <w:ilvl w:val="0"/>
          <w:numId w:val="17"/>
        </w:numPr>
        <w:jc w:val="both"/>
        <w:rPr>
          <w:rFonts w:ascii="Times New Roman" w:hAnsi="Times New Roman" w:cs="Times New Roman"/>
          <w:sz w:val="24"/>
          <w:szCs w:val="24"/>
        </w:rPr>
      </w:pPr>
      <w:r w:rsidRPr="00640522">
        <w:rPr>
          <w:rFonts w:ascii="Times New Roman" w:hAnsi="Times New Roman" w:cs="Times New Roman"/>
          <w:sz w:val="24"/>
          <w:szCs w:val="24"/>
        </w:rPr>
        <w:t>Regulatory and Policy Frameworks: It is critical to set up the frameworks and permissions required by the relevant regulations in order to implement MBGC. Enabling a seamless adoption process will require addressing possible regulatory obstacles and optimizing approval procedures.</w:t>
      </w:r>
    </w:p>
    <w:p w:rsidR="00581ED7" w:rsidRPr="00640522" w:rsidRDefault="00581ED7" w:rsidP="00BA7002">
      <w:pPr>
        <w:pStyle w:val="Paragrafoelenco"/>
        <w:numPr>
          <w:ilvl w:val="0"/>
          <w:numId w:val="17"/>
        </w:numPr>
        <w:jc w:val="both"/>
        <w:rPr>
          <w:rFonts w:ascii="Times New Roman" w:hAnsi="Times New Roman" w:cs="Times New Roman"/>
          <w:sz w:val="24"/>
          <w:szCs w:val="24"/>
        </w:rPr>
      </w:pPr>
      <w:r w:rsidRPr="00640522">
        <w:rPr>
          <w:rFonts w:ascii="Times New Roman" w:hAnsi="Times New Roman" w:cs="Times New Roman"/>
          <w:sz w:val="24"/>
          <w:szCs w:val="24"/>
        </w:rPr>
        <w:t>Public Acceptance and Awareness: It's critical to inform the public and stakeholders about the advantages and possibilities of MBGC in order to win their support. Strong outreach and communication strategies are needed to overcome any possible opposition or scepticism.</w:t>
      </w:r>
    </w:p>
    <w:p w:rsidR="00581ED7" w:rsidRPr="00640522" w:rsidRDefault="00581ED7" w:rsidP="00BA7002">
      <w:pPr>
        <w:pStyle w:val="Paragrafoelenco"/>
        <w:numPr>
          <w:ilvl w:val="0"/>
          <w:numId w:val="17"/>
        </w:numPr>
        <w:jc w:val="both"/>
        <w:rPr>
          <w:rFonts w:ascii="Times New Roman" w:hAnsi="Times New Roman" w:cs="Times New Roman"/>
          <w:sz w:val="24"/>
          <w:szCs w:val="24"/>
        </w:rPr>
      </w:pPr>
      <w:r w:rsidRPr="00640522">
        <w:rPr>
          <w:rFonts w:ascii="Times New Roman" w:hAnsi="Times New Roman" w:cs="Times New Roman"/>
          <w:sz w:val="24"/>
          <w:szCs w:val="24"/>
        </w:rPr>
        <w:t xml:space="preserve">Financial Viability and Investment: Obtaining capital and financial assistance is essential for MBGC implementation. This takes into account </w:t>
      </w:r>
      <w:r w:rsidRPr="00640522">
        <w:rPr>
          <w:rFonts w:ascii="Times New Roman" w:hAnsi="Times New Roman" w:cs="Times New Roman"/>
          <w:sz w:val="24"/>
          <w:szCs w:val="24"/>
        </w:rPr>
        <w:lastRenderedPageBreak/>
        <w:t>starting capital expenditures, ongoing expenses, and prospective income streams from the production of biogas.</w:t>
      </w:r>
    </w:p>
    <w:p w:rsidR="00581ED7" w:rsidRPr="00640522" w:rsidRDefault="00581ED7" w:rsidP="00BA7002">
      <w:pPr>
        <w:pStyle w:val="Paragrafoelenco"/>
        <w:numPr>
          <w:ilvl w:val="0"/>
          <w:numId w:val="17"/>
        </w:numPr>
        <w:jc w:val="both"/>
        <w:rPr>
          <w:rFonts w:ascii="Times New Roman" w:hAnsi="Times New Roman" w:cs="Times New Roman"/>
          <w:sz w:val="24"/>
          <w:szCs w:val="24"/>
        </w:rPr>
      </w:pPr>
      <w:r w:rsidRPr="00640522">
        <w:rPr>
          <w:rFonts w:ascii="Times New Roman" w:hAnsi="Times New Roman" w:cs="Times New Roman"/>
          <w:sz w:val="24"/>
          <w:szCs w:val="24"/>
        </w:rPr>
        <w:t>Building Capacity and Training: It's critical to make sure that stakeholders and local communities have the abilities needed to run and maintain MBGC systems. Providing training courses and launching capacity-building projects will be essential for the implementation to be successful.</w:t>
      </w:r>
    </w:p>
    <w:p w:rsidR="00581ED7" w:rsidRPr="00640522" w:rsidRDefault="00581ED7" w:rsidP="00BA7002">
      <w:pPr>
        <w:jc w:val="both"/>
        <w:rPr>
          <w:rFonts w:ascii="Times New Roman" w:hAnsi="Times New Roman" w:cs="Times New Roman"/>
          <w:b/>
          <w:sz w:val="24"/>
          <w:szCs w:val="24"/>
        </w:rPr>
      </w:pPr>
      <w:r w:rsidRPr="00640522">
        <w:rPr>
          <w:rFonts w:ascii="Times New Roman" w:hAnsi="Times New Roman" w:cs="Times New Roman"/>
          <w:b/>
          <w:sz w:val="24"/>
          <w:szCs w:val="24"/>
        </w:rPr>
        <w:t>Approachable Solutions</w:t>
      </w:r>
    </w:p>
    <w:p w:rsidR="00581ED7" w:rsidRPr="00640522" w:rsidRDefault="00581ED7" w:rsidP="00BA7002">
      <w:pPr>
        <w:pStyle w:val="Paragrafoelenco"/>
        <w:numPr>
          <w:ilvl w:val="0"/>
          <w:numId w:val="16"/>
        </w:numPr>
        <w:jc w:val="both"/>
        <w:rPr>
          <w:rFonts w:ascii="Times New Roman" w:hAnsi="Times New Roman" w:cs="Times New Roman"/>
          <w:sz w:val="24"/>
          <w:szCs w:val="24"/>
        </w:rPr>
      </w:pPr>
      <w:r w:rsidRPr="00640522">
        <w:rPr>
          <w:rFonts w:ascii="Times New Roman" w:hAnsi="Times New Roman" w:cs="Times New Roman"/>
          <w:sz w:val="24"/>
          <w:szCs w:val="24"/>
        </w:rPr>
        <w:t>Pilot Programs and Demonstrations: As an important proof of concept, certain urban areas can host pilot initiatives and demonstrations. This makes it possible to collect data, do extensive testing, and get community input—all of which serve to improve the technology prior to its wider adoption.</w:t>
      </w:r>
    </w:p>
    <w:p w:rsidR="00581ED7" w:rsidRPr="00640522" w:rsidRDefault="00581ED7" w:rsidP="00BA7002">
      <w:pPr>
        <w:pStyle w:val="Paragrafoelenco"/>
        <w:numPr>
          <w:ilvl w:val="0"/>
          <w:numId w:val="16"/>
        </w:numPr>
        <w:jc w:val="both"/>
        <w:rPr>
          <w:rFonts w:ascii="Times New Roman" w:hAnsi="Times New Roman" w:cs="Times New Roman"/>
          <w:sz w:val="24"/>
          <w:szCs w:val="24"/>
        </w:rPr>
      </w:pPr>
      <w:r w:rsidRPr="00640522">
        <w:rPr>
          <w:rFonts w:ascii="Times New Roman" w:hAnsi="Times New Roman" w:cs="Times New Roman"/>
          <w:sz w:val="24"/>
          <w:szCs w:val="24"/>
        </w:rPr>
        <w:t>Multi-Stakeholder Collaboration: A collaborative approach is fostered by interacting with a wide range of stakeholders, such as local communities, government agencies, business partners, and environmental organizations. By working together, we can overcome obstacles and pool our combined knowledge.</w:t>
      </w:r>
    </w:p>
    <w:p w:rsidR="00581ED7" w:rsidRPr="00640522" w:rsidRDefault="00581ED7" w:rsidP="00BA7002">
      <w:pPr>
        <w:pStyle w:val="Paragrafoelenco"/>
        <w:numPr>
          <w:ilvl w:val="0"/>
          <w:numId w:val="16"/>
        </w:numPr>
        <w:jc w:val="both"/>
        <w:rPr>
          <w:rFonts w:ascii="Times New Roman" w:hAnsi="Times New Roman" w:cs="Times New Roman"/>
          <w:sz w:val="24"/>
          <w:szCs w:val="24"/>
        </w:rPr>
      </w:pPr>
      <w:r w:rsidRPr="00640522">
        <w:rPr>
          <w:rFonts w:ascii="Times New Roman" w:hAnsi="Times New Roman" w:cs="Times New Roman"/>
          <w:sz w:val="24"/>
          <w:szCs w:val="24"/>
        </w:rPr>
        <w:lastRenderedPageBreak/>
        <w:t>Regulatory Advocacy and Engagement: It's critical to work with legislators and regulatory agencies to create supportive policy frameworks and expedite approval procedures. Promotional activities can aid in establishing a favorable atmosphere for the execution of MBGC.</w:t>
      </w:r>
    </w:p>
    <w:p w:rsidR="00581ED7" w:rsidRPr="00640522" w:rsidRDefault="00581ED7" w:rsidP="00BA7002">
      <w:pPr>
        <w:pStyle w:val="Paragrafoelenco"/>
        <w:numPr>
          <w:ilvl w:val="0"/>
          <w:numId w:val="16"/>
        </w:numPr>
        <w:jc w:val="both"/>
        <w:rPr>
          <w:rFonts w:ascii="Times New Roman" w:hAnsi="Times New Roman" w:cs="Times New Roman"/>
          <w:sz w:val="24"/>
          <w:szCs w:val="24"/>
        </w:rPr>
      </w:pPr>
      <w:r w:rsidRPr="00640522">
        <w:rPr>
          <w:rFonts w:ascii="Times New Roman" w:hAnsi="Times New Roman" w:cs="Times New Roman"/>
          <w:sz w:val="24"/>
          <w:szCs w:val="24"/>
        </w:rPr>
        <w:t>Community Outreach and Engagement: Starting extensive public awareness campaigns and outreach programs helps increase public support and clears up any misunderstandings or worries about MBGC. Crucial elements include incorporating communities in decision-making processes and delivering transparent information.</w:t>
      </w:r>
    </w:p>
    <w:p w:rsidR="00581ED7" w:rsidRPr="00640522" w:rsidRDefault="00581ED7" w:rsidP="00BA7002">
      <w:pPr>
        <w:pStyle w:val="Paragrafoelenco"/>
        <w:numPr>
          <w:ilvl w:val="0"/>
          <w:numId w:val="16"/>
        </w:numPr>
        <w:jc w:val="both"/>
        <w:rPr>
          <w:rFonts w:ascii="Times New Roman" w:hAnsi="Times New Roman" w:cs="Times New Roman"/>
          <w:sz w:val="24"/>
          <w:szCs w:val="24"/>
        </w:rPr>
      </w:pPr>
      <w:r w:rsidRPr="00640522">
        <w:rPr>
          <w:rFonts w:ascii="Times New Roman" w:hAnsi="Times New Roman" w:cs="Times New Roman"/>
          <w:sz w:val="24"/>
          <w:szCs w:val="24"/>
        </w:rPr>
        <w:t>Rewards and Funding Sources: Examining monetary rewards, grants, and subsidies for MBGC early adopters can encourage the program's adoption. Securing the required funds might also be aided by investigating creative funding structures and public-private partnerships.</w:t>
      </w:r>
    </w:p>
    <w:p w:rsidR="00581ED7" w:rsidRPr="00640522" w:rsidRDefault="00581ED7" w:rsidP="00BA7002">
      <w:pPr>
        <w:pStyle w:val="Paragrafoelenco"/>
        <w:numPr>
          <w:ilvl w:val="0"/>
          <w:numId w:val="16"/>
        </w:numPr>
        <w:jc w:val="both"/>
        <w:rPr>
          <w:rFonts w:ascii="Times New Roman" w:hAnsi="Times New Roman" w:cs="Times New Roman"/>
          <w:sz w:val="24"/>
          <w:szCs w:val="24"/>
        </w:rPr>
      </w:pPr>
      <w:r w:rsidRPr="00640522">
        <w:rPr>
          <w:rFonts w:ascii="Times New Roman" w:hAnsi="Times New Roman" w:cs="Times New Roman"/>
          <w:sz w:val="24"/>
          <w:szCs w:val="24"/>
        </w:rPr>
        <w:t>Capacity-Building Initiatives: Ensuring local communities and technicians have the know-how to efficiently run and maintain MBGC systems is ensured by putting in place training programmes and capacity-building initiatives.</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We can facilitate a more seamless and productive integration of MBGC into urban surroundings, particularly in line with the goals of SDG 11.1, by anticipating possible implementation obstacles and putting wise solutions into place. This proactive strategy, even in the absence of technology implementation, lays the groundwork for Bangladesh's urban future to be resilient and sustainable.</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Social and Community Repercussions of MBGC Adoption</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Promoting Empowerment and Resilience in Communities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Adopting the Mini Bio Gas Continuous (MBGC) system has the potential to have significant social and community effects in addition to being a technological advancement. This section examines the expected impacts on society and local communities, highlighting the transformative potential of MBGC in improving social cohesion and quality of life. Although Bangladesh has not yet achieved SDG 11.1 in its whole, the implementation of MBGC can greatly aid in its realization.</w:t>
      </w:r>
    </w:p>
    <w:p w:rsidR="00581ED7" w:rsidRPr="00640522" w:rsidRDefault="00581ED7" w:rsidP="00BA7002">
      <w:pPr>
        <w:jc w:val="both"/>
        <w:rPr>
          <w:rFonts w:ascii="Times New Roman" w:hAnsi="Times New Roman" w:cs="Times New Roman"/>
          <w:b/>
          <w:sz w:val="24"/>
          <w:szCs w:val="24"/>
        </w:rPr>
      </w:pPr>
      <w:r w:rsidRPr="00640522">
        <w:rPr>
          <w:rFonts w:ascii="Times New Roman" w:hAnsi="Times New Roman" w:cs="Times New Roman"/>
          <w:b/>
          <w:sz w:val="24"/>
          <w:szCs w:val="24"/>
        </w:rPr>
        <w:t>Improving Earnings and Financial Prospects</w:t>
      </w:r>
    </w:p>
    <w:p w:rsidR="00581ED7" w:rsidRPr="00640522" w:rsidRDefault="00581ED7" w:rsidP="00BA7002">
      <w:pPr>
        <w:pStyle w:val="Paragrafoelenco"/>
        <w:numPr>
          <w:ilvl w:val="0"/>
          <w:numId w:val="15"/>
        </w:numPr>
        <w:jc w:val="both"/>
        <w:rPr>
          <w:rFonts w:ascii="Times New Roman" w:hAnsi="Times New Roman" w:cs="Times New Roman"/>
          <w:sz w:val="24"/>
          <w:szCs w:val="24"/>
        </w:rPr>
      </w:pPr>
      <w:r w:rsidRPr="00640522">
        <w:rPr>
          <w:rFonts w:ascii="Times New Roman" w:hAnsi="Times New Roman" w:cs="Times New Roman"/>
          <w:sz w:val="24"/>
          <w:szCs w:val="24"/>
        </w:rPr>
        <w:lastRenderedPageBreak/>
        <w:t>Employment Creation: The implementation of MBGC may result in the creation of new jobs, especially in industries that handle garbage, produce biogas, and maintain the system.</w:t>
      </w:r>
    </w:p>
    <w:p w:rsidR="00581ED7" w:rsidRPr="00640522" w:rsidRDefault="00581ED7" w:rsidP="00BA7002">
      <w:pPr>
        <w:pStyle w:val="Paragrafoelenco"/>
        <w:numPr>
          <w:ilvl w:val="0"/>
          <w:numId w:val="15"/>
        </w:numPr>
        <w:jc w:val="both"/>
        <w:rPr>
          <w:rFonts w:ascii="Times New Roman" w:hAnsi="Times New Roman" w:cs="Times New Roman"/>
          <w:sz w:val="24"/>
          <w:szCs w:val="24"/>
        </w:rPr>
      </w:pPr>
      <w:r w:rsidRPr="00640522">
        <w:rPr>
          <w:rFonts w:ascii="Times New Roman" w:hAnsi="Times New Roman" w:cs="Times New Roman"/>
          <w:sz w:val="24"/>
          <w:szCs w:val="24"/>
        </w:rPr>
        <w:t>Empowering Local Entrepreneurs: The implementation of MBGC could serve as a catalyst for the establishment of small companies and entrepreneurs in the area that focus on producing biogas and related services. In the community, this empowerment of small businesses may result in sustainability and economic growth.</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Enhancing the Availability of Clean Energy and Services</w:t>
      </w:r>
    </w:p>
    <w:p w:rsidR="00581ED7" w:rsidRPr="00640522" w:rsidRDefault="00581ED7" w:rsidP="00BA7002">
      <w:pPr>
        <w:pStyle w:val="Paragrafoelenco"/>
        <w:numPr>
          <w:ilvl w:val="0"/>
          <w:numId w:val="14"/>
        </w:numPr>
        <w:jc w:val="both"/>
        <w:rPr>
          <w:rFonts w:ascii="Times New Roman" w:hAnsi="Times New Roman" w:cs="Times New Roman"/>
          <w:sz w:val="24"/>
          <w:szCs w:val="24"/>
        </w:rPr>
      </w:pPr>
      <w:r w:rsidRPr="00640522">
        <w:rPr>
          <w:rFonts w:ascii="Times New Roman" w:hAnsi="Times New Roman" w:cs="Times New Roman"/>
          <w:sz w:val="24"/>
          <w:szCs w:val="24"/>
        </w:rPr>
        <w:t>Economical Energy Source: By offering a cost-effective and sustainable energy source, MBGC helps to lessen reliance on conventional fossil fuels. The availability of clean energy raises living standards generally and helps to combat poverty.</w:t>
      </w:r>
    </w:p>
    <w:p w:rsidR="00581ED7" w:rsidRPr="00640522" w:rsidRDefault="00581ED7" w:rsidP="00BA7002">
      <w:pPr>
        <w:pStyle w:val="Paragrafoelenco"/>
        <w:numPr>
          <w:ilvl w:val="0"/>
          <w:numId w:val="14"/>
        </w:numPr>
        <w:jc w:val="both"/>
        <w:rPr>
          <w:rFonts w:ascii="Times New Roman" w:hAnsi="Times New Roman" w:cs="Times New Roman"/>
          <w:sz w:val="24"/>
          <w:szCs w:val="24"/>
        </w:rPr>
      </w:pPr>
      <w:r w:rsidRPr="00640522">
        <w:rPr>
          <w:rFonts w:ascii="Times New Roman" w:hAnsi="Times New Roman" w:cs="Times New Roman"/>
          <w:sz w:val="24"/>
          <w:szCs w:val="24"/>
        </w:rPr>
        <w:t>Improved Sanitation and Waste Management: MBGC concurrently solves sanitation issues and encourages efficient waste management practises by using organic waste for biogas production. In addition to making the environment cleaner, this improves public health and wellbeing.</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lastRenderedPageBreak/>
        <w:t>Enhancing Community Involvement and Social Cohesion</w:t>
      </w:r>
    </w:p>
    <w:p w:rsidR="00581ED7" w:rsidRPr="00640522" w:rsidRDefault="00581ED7" w:rsidP="00BA7002">
      <w:pPr>
        <w:pStyle w:val="Paragrafoelenco"/>
        <w:numPr>
          <w:ilvl w:val="0"/>
          <w:numId w:val="13"/>
        </w:numPr>
        <w:jc w:val="both"/>
        <w:rPr>
          <w:rFonts w:ascii="Times New Roman" w:hAnsi="Times New Roman" w:cs="Times New Roman"/>
          <w:sz w:val="24"/>
          <w:szCs w:val="24"/>
        </w:rPr>
      </w:pPr>
      <w:r w:rsidRPr="00640522">
        <w:rPr>
          <w:rFonts w:ascii="Times New Roman" w:hAnsi="Times New Roman" w:cs="Times New Roman"/>
          <w:sz w:val="24"/>
          <w:szCs w:val="24"/>
        </w:rPr>
        <w:t>Shared Responsibility for Sustainable Development: The community's commitment to sustainable development objectives is fostered by the adoption of MBGC. Residents' sense of togetherness and purpose is strengthened by this group effort, which eventually improves social cohesiveness.</w:t>
      </w:r>
    </w:p>
    <w:p w:rsidR="00581ED7" w:rsidRPr="00640522" w:rsidRDefault="00581ED7" w:rsidP="00BA7002">
      <w:pPr>
        <w:pStyle w:val="Paragrafoelenco"/>
        <w:numPr>
          <w:ilvl w:val="0"/>
          <w:numId w:val="13"/>
        </w:numPr>
        <w:jc w:val="both"/>
        <w:rPr>
          <w:rFonts w:ascii="Times New Roman" w:hAnsi="Times New Roman" w:cs="Times New Roman"/>
          <w:sz w:val="24"/>
          <w:szCs w:val="24"/>
        </w:rPr>
      </w:pPr>
      <w:r w:rsidRPr="00640522">
        <w:rPr>
          <w:rFonts w:ascii="Times New Roman" w:hAnsi="Times New Roman" w:cs="Times New Roman"/>
          <w:sz w:val="24"/>
          <w:szCs w:val="24"/>
        </w:rPr>
        <w:t>Resilience in the Face of Adversity: MBGC offers communities a useful resource that they can use in the event of an energy shortage or other adversity. Communities are empowered by this resilience-building element to work together to weather emergencies and uncertainties.</w:t>
      </w:r>
    </w:p>
    <w:p w:rsidR="00581ED7" w:rsidRPr="00640522" w:rsidRDefault="00581ED7" w:rsidP="00BA7002">
      <w:pPr>
        <w:pStyle w:val="Paragrafoelenco"/>
        <w:numPr>
          <w:ilvl w:val="0"/>
          <w:numId w:val="13"/>
        </w:numPr>
        <w:jc w:val="both"/>
        <w:rPr>
          <w:rFonts w:ascii="Times New Roman" w:hAnsi="Times New Roman" w:cs="Times New Roman"/>
          <w:sz w:val="24"/>
          <w:szCs w:val="24"/>
        </w:rPr>
      </w:pPr>
      <w:r w:rsidRPr="00640522">
        <w:rPr>
          <w:rFonts w:ascii="Times New Roman" w:hAnsi="Times New Roman" w:cs="Times New Roman"/>
          <w:sz w:val="24"/>
          <w:szCs w:val="24"/>
        </w:rPr>
        <w:t>Enhancement of Skills and Capacity Building: MBGC's training and capacity-building initiatives give participants important knowledge in renewable energy technology. In addition to improving employability, this information gives community members a sense of empowerment and self-worth.</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By taking into account the social and community effects of MBGC adoption, we acknowledge that its use goes much beyond the domain of technology. It has the ability </w:t>
      </w:r>
      <w:r w:rsidRPr="00581ED7">
        <w:rPr>
          <w:rFonts w:ascii="Times New Roman" w:hAnsi="Times New Roman" w:cs="Times New Roman"/>
          <w:sz w:val="24"/>
          <w:szCs w:val="24"/>
          <w:lang w:val="en-US"/>
        </w:rPr>
        <w:lastRenderedPageBreak/>
        <w:t>to strengthen the social fabric of communities, improve the quality of life for locals, and give them more influence. This works in perfect harmony with SDG 11.1's goals, helping to make Bangladesh's urban future more resilient and sustainable.</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MBGC Technology: Unlocking Potential for Sustainable Energy and Clean Energy</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A New Era for Sustainability and Clean Energy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With the advent of this segment, Bangladesh has entered a new age driven by the revolutionary potential of Mini Bio Gas Continuous (MBGC) technology. It imagines a time when sustainable urban development and the production of clean energy are mutually exclusive. MBGC can lead the country towards environmental stewardship and energy security by utilising the potential of biogas and other resources obtained from organic waste. Despite the fact that the technology has not yet been put into practise, this vision is in complete harmony with the goals of Sustainable Development Goal (SDG) 11.1 for Bangladesh.</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Prospects for the Future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MBGC technology is a paradigm shift in energy generation that will increase energy security. Bangladesh </w:t>
      </w:r>
      <w:r w:rsidRPr="00581ED7">
        <w:rPr>
          <w:rFonts w:ascii="Times New Roman" w:hAnsi="Times New Roman" w:cs="Times New Roman"/>
          <w:sz w:val="24"/>
          <w:szCs w:val="24"/>
          <w:lang w:val="en-US"/>
        </w:rPr>
        <w:lastRenderedPageBreak/>
        <w:t>may diversify its energy sources, lessen its dependency on fossil fuels, and improve energy security by producing biogas from organic waste. This change creates the framework for an energy landscape that is more resilient and self-sufficient.</w:t>
      </w:r>
    </w:p>
    <w:p w:rsidR="00581ED7" w:rsidRPr="00640522" w:rsidRDefault="00581ED7" w:rsidP="00BA7002">
      <w:pPr>
        <w:pStyle w:val="Paragrafoelenco"/>
        <w:numPr>
          <w:ilvl w:val="0"/>
          <w:numId w:val="12"/>
        </w:numPr>
        <w:jc w:val="both"/>
        <w:rPr>
          <w:rFonts w:ascii="Times New Roman" w:hAnsi="Times New Roman" w:cs="Times New Roman"/>
          <w:sz w:val="24"/>
          <w:szCs w:val="24"/>
        </w:rPr>
      </w:pPr>
      <w:r w:rsidRPr="00640522">
        <w:rPr>
          <w:rFonts w:ascii="Times New Roman" w:hAnsi="Times New Roman" w:cs="Times New Roman"/>
          <w:sz w:val="24"/>
          <w:szCs w:val="24"/>
        </w:rPr>
        <w:t xml:space="preserve">Leading Environmental Stewardship: MBGC implementation makes a more sustainable waste management strategy possible. The technique simultaneously addresses two major issues by producing renewable energy and minimizing trash in landfills by turning organic waste into biogas. </w:t>
      </w:r>
    </w:p>
    <w:p w:rsidR="00581ED7" w:rsidRPr="00640522" w:rsidRDefault="00581ED7" w:rsidP="00BA7002">
      <w:pPr>
        <w:pStyle w:val="Paragrafoelenco"/>
        <w:numPr>
          <w:ilvl w:val="0"/>
          <w:numId w:val="12"/>
        </w:numPr>
        <w:jc w:val="both"/>
        <w:rPr>
          <w:rFonts w:ascii="Times New Roman" w:hAnsi="Times New Roman" w:cs="Times New Roman"/>
          <w:sz w:val="24"/>
          <w:szCs w:val="24"/>
        </w:rPr>
      </w:pPr>
      <w:r w:rsidRPr="00640522">
        <w:rPr>
          <w:rFonts w:ascii="Times New Roman" w:hAnsi="Times New Roman" w:cs="Times New Roman"/>
          <w:sz w:val="24"/>
          <w:szCs w:val="24"/>
        </w:rPr>
        <w:t>Empowering Local Communities: The implementation of MBGC makes it possible for nearby communities to take an active role in the production of sustainable energy. Residents may play a crucial role in using and maintaining the technology by participating in training and capacity-building initiatives.</w:t>
      </w:r>
    </w:p>
    <w:p w:rsidR="00581ED7" w:rsidRPr="00640522" w:rsidRDefault="00581ED7" w:rsidP="00BA7002">
      <w:pPr>
        <w:pStyle w:val="Paragrafoelenco"/>
        <w:numPr>
          <w:ilvl w:val="0"/>
          <w:numId w:val="12"/>
        </w:numPr>
        <w:jc w:val="both"/>
        <w:rPr>
          <w:rFonts w:ascii="Times New Roman" w:hAnsi="Times New Roman" w:cs="Times New Roman"/>
          <w:sz w:val="24"/>
          <w:szCs w:val="24"/>
        </w:rPr>
      </w:pPr>
      <w:r w:rsidRPr="00640522">
        <w:rPr>
          <w:rFonts w:ascii="Times New Roman" w:hAnsi="Times New Roman" w:cs="Times New Roman"/>
          <w:sz w:val="24"/>
          <w:szCs w:val="24"/>
        </w:rPr>
        <w:t xml:space="preserve">Driving Economic Growth: Bangladesh's economy can grow as a result of the adoption of MBGC technology. This involves the development of regional biogas industries, the creation of jobs in the renewable energy industry, and the possibility of exporting technology and knowledge to nearby areas. The inclusive and sustainable urbanization </w:t>
      </w:r>
      <w:r w:rsidRPr="00640522">
        <w:rPr>
          <w:rFonts w:ascii="Times New Roman" w:hAnsi="Times New Roman" w:cs="Times New Roman"/>
          <w:sz w:val="24"/>
          <w:szCs w:val="24"/>
        </w:rPr>
        <w:lastRenderedPageBreak/>
        <w:t>target of SDG 11.1 is in line with this kind of economic growth.</w:t>
      </w:r>
    </w:p>
    <w:p w:rsidR="00581ED7" w:rsidRPr="00640522" w:rsidRDefault="00581ED7" w:rsidP="00BA7002">
      <w:pPr>
        <w:pStyle w:val="Paragrafoelenco"/>
        <w:numPr>
          <w:ilvl w:val="0"/>
          <w:numId w:val="12"/>
        </w:numPr>
        <w:jc w:val="both"/>
        <w:rPr>
          <w:rFonts w:ascii="Times New Roman" w:hAnsi="Times New Roman" w:cs="Times New Roman"/>
          <w:sz w:val="24"/>
          <w:szCs w:val="24"/>
        </w:rPr>
      </w:pPr>
      <w:r w:rsidRPr="00640522">
        <w:rPr>
          <w:rFonts w:ascii="Times New Roman" w:hAnsi="Times New Roman" w:cs="Times New Roman"/>
          <w:sz w:val="24"/>
          <w:szCs w:val="24"/>
        </w:rPr>
        <w:t>Demonstrating Global Leadership: By putting MBGC into practise, Bangladesh is positioned as a leader in clean energy and sustainable urban development. The country may lead by example, demonstrating how cutting-edge technologies can be used to urgent energy and environmental issues. The overarching goal of SDG 11.1, which is to build resilient, inclusive, and sustainable cities globally, is in line with this global leadership.</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Although MBGC technology has not yet been used, Bangladesh can greatly benefit from it. This futuristic picture of a city powered by renewable energy made from organic waste suggests a more robust and sustainable urban environment.</w:t>
      </w:r>
    </w:p>
    <w:p w:rsidR="00581ED7" w:rsidRPr="00581ED7" w:rsidRDefault="00581ED7" w:rsidP="00BA7002">
      <w:pPr>
        <w:jc w:val="both"/>
        <w:rPr>
          <w:rFonts w:ascii="Times New Roman" w:hAnsi="Times New Roman" w:cs="Times New Roman"/>
          <w:b/>
          <w:sz w:val="24"/>
          <w:szCs w:val="24"/>
          <w:u w:val="single"/>
          <w:lang w:val="en-US"/>
        </w:rPr>
      </w:pPr>
      <w:r w:rsidRPr="00581ED7">
        <w:rPr>
          <w:rFonts w:ascii="Times New Roman" w:hAnsi="Times New Roman" w:cs="Times New Roman"/>
          <w:b/>
          <w:sz w:val="24"/>
          <w:szCs w:val="24"/>
          <w:u w:val="single"/>
          <w:lang w:val="en-US"/>
        </w:rPr>
        <w:t>Relevance &amp; Impact Worldwide</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Bangladesh's Place in the World Stage</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Bangladesh stands out as a leader in sustainable urban solutions when it comes to the application of Mini Bio Gas Continuous (MBGC) technology. This section demonstrates how Bangladesh's proactive approach not only tackles regional issues but also positions the country as a leader in the international discourse on sustainable </w:t>
      </w:r>
      <w:r w:rsidRPr="00581ED7">
        <w:rPr>
          <w:rFonts w:ascii="Times New Roman" w:hAnsi="Times New Roman" w:cs="Times New Roman"/>
          <w:sz w:val="24"/>
          <w:szCs w:val="24"/>
          <w:lang w:val="en-US"/>
        </w:rPr>
        <w:lastRenderedPageBreak/>
        <w:t>urban development. Although MBGC has not yet been put into practise, its possible effects are in perfect harmony with Bangladesh's Sustainable Development Goal (SDG) 11.1 goals.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Bangladesh's Position as a World Pioneer</w:t>
      </w:r>
    </w:p>
    <w:p w:rsidR="00581ED7" w:rsidRPr="00640522" w:rsidRDefault="00581ED7" w:rsidP="00BA7002">
      <w:pPr>
        <w:pStyle w:val="Paragrafoelenco"/>
        <w:numPr>
          <w:ilvl w:val="0"/>
          <w:numId w:val="11"/>
        </w:numPr>
        <w:jc w:val="both"/>
        <w:rPr>
          <w:rFonts w:ascii="Times New Roman" w:hAnsi="Times New Roman" w:cs="Times New Roman"/>
          <w:sz w:val="24"/>
          <w:szCs w:val="24"/>
        </w:rPr>
      </w:pPr>
      <w:r w:rsidRPr="00640522">
        <w:rPr>
          <w:rFonts w:ascii="Times New Roman" w:hAnsi="Times New Roman" w:cs="Times New Roman"/>
          <w:sz w:val="24"/>
          <w:szCs w:val="24"/>
        </w:rPr>
        <w:t>Bangladesh's adoption of MBGC technology demonstrates the country's dedication to leading the way in the development of sustainable urban solutions.</w:t>
      </w:r>
    </w:p>
    <w:p w:rsidR="00581ED7" w:rsidRPr="00640522" w:rsidRDefault="00581ED7" w:rsidP="00BA7002">
      <w:pPr>
        <w:pStyle w:val="Paragrafoelenco"/>
        <w:numPr>
          <w:ilvl w:val="0"/>
          <w:numId w:val="11"/>
        </w:numPr>
        <w:jc w:val="both"/>
        <w:rPr>
          <w:rFonts w:ascii="Times New Roman" w:hAnsi="Times New Roman" w:cs="Times New Roman"/>
          <w:sz w:val="24"/>
          <w:szCs w:val="24"/>
        </w:rPr>
      </w:pPr>
      <w:r w:rsidRPr="00640522">
        <w:rPr>
          <w:rFonts w:ascii="Times New Roman" w:hAnsi="Times New Roman" w:cs="Times New Roman"/>
          <w:sz w:val="24"/>
          <w:szCs w:val="24"/>
        </w:rPr>
        <w:t>Increasing Global Awareness: Bangladesh's adoption of MBGC increases awareness of sustainable urban development opportunities worldwide. By this programme, Bangladesh not only tackles its own urban problems but also encourages other countries to investigate novel ideas for building more resilient, inclusive, and sustainable cities.</w:t>
      </w:r>
    </w:p>
    <w:p w:rsidR="00581ED7" w:rsidRPr="00640522" w:rsidRDefault="00581ED7" w:rsidP="00BA7002">
      <w:pPr>
        <w:pStyle w:val="Paragrafoelenco"/>
        <w:numPr>
          <w:ilvl w:val="0"/>
          <w:numId w:val="11"/>
        </w:numPr>
        <w:jc w:val="both"/>
        <w:rPr>
          <w:rFonts w:ascii="Times New Roman" w:hAnsi="Times New Roman" w:cs="Times New Roman"/>
          <w:sz w:val="24"/>
          <w:szCs w:val="24"/>
        </w:rPr>
      </w:pPr>
      <w:r w:rsidRPr="00640522">
        <w:rPr>
          <w:rFonts w:ascii="Times New Roman" w:hAnsi="Times New Roman" w:cs="Times New Roman"/>
          <w:sz w:val="24"/>
          <w:szCs w:val="24"/>
        </w:rPr>
        <w:t xml:space="preserve">Encouraging International Collaboration and Knowledge sharing: Bangladesh's role as a leader in MBGC implementation creates opportunities for global collaboration and sharing of knowledge. It turns into a focal point for exchanging innovative ideas, lessons discovered, and technology breakthroughs related to sustainable urban </w:t>
      </w:r>
      <w:r w:rsidRPr="00640522">
        <w:rPr>
          <w:rFonts w:ascii="Times New Roman" w:hAnsi="Times New Roman" w:cs="Times New Roman"/>
          <w:sz w:val="24"/>
          <w:szCs w:val="24"/>
        </w:rPr>
        <w:lastRenderedPageBreak/>
        <w:t>development, advancing worldwide movement towards SDG 11.1.</w:t>
      </w:r>
    </w:p>
    <w:p w:rsidR="00581ED7" w:rsidRPr="00640522" w:rsidRDefault="00581ED7" w:rsidP="00BA7002">
      <w:pPr>
        <w:pStyle w:val="Paragrafoelenco"/>
        <w:numPr>
          <w:ilvl w:val="0"/>
          <w:numId w:val="11"/>
        </w:numPr>
        <w:jc w:val="both"/>
        <w:rPr>
          <w:rFonts w:ascii="Times New Roman" w:hAnsi="Times New Roman" w:cs="Times New Roman"/>
          <w:sz w:val="24"/>
          <w:szCs w:val="24"/>
        </w:rPr>
      </w:pPr>
      <w:r w:rsidRPr="00640522">
        <w:rPr>
          <w:rFonts w:ascii="Times New Roman" w:hAnsi="Times New Roman" w:cs="Times New Roman"/>
          <w:sz w:val="24"/>
          <w:szCs w:val="24"/>
        </w:rPr>
        <w:t>Attracting Foreign Investments and Expertise: Bangladesh's adoption of MBGC as a leader may draw foreign investment and knowledge in the field of sustainable urban development.</w:t>
      </w:r>
    </w:p>
    <w:p w:rsidR="00581ED7" w:rsidRPr="00640522" w:rsidRDefault="00581ED7" w:rsidP="00BA7002">
      <w:pPr>
        <w:pStyle w:val="Paragrafoelenco"/>
        <w:numPr>
          <w:ilvl w:val="0"/>
          <w:numId w:val="11"/>
        </w:numPr>
        <w:jc w:val="both"/>
        <w:rPr>
          <w:rFonts w:ascii="Times New Roman" w:hAnsi="Times New Roman" w:cs="Times New Roman"/>
          <w:sz w:val="24"/>
          <w:szCs w:val="24"/>
        </w:rPr>
      </w:pPr>
      <w:r w:rsidRPr="00640522">
        <w:rPr>
          <w:rFonts w:ascii="Times New Roman" w:hAnsi="Times New Roman" w:cs="Times New Roman"/>
          <w:sz w:val="24"/>
          <w:szCs w:val="24"/>
        </w:rPr>
        <w:t>Increasing Diplomatic Influence: Bangladesh gains more international clout due to its proactive commitment to sustainable urban development. By strengthening the country's standing as a pioneer in environmental care, it adds to the larger conversation about sustainable development and mitigating the effects of climate change.</w:t>
      </w:r>
    </w:p>
    <w:p w:rsidR="00581ED7" w:rsidRPr="00640522" w:rsidRDefault="00581ED7" w:rsidP="00BA7002">
      <w:pPr>
        <w:pStyle w:val="Paragrafoelenco"/>
        <w:numPr>
          <w:ilvl w:val="0"/>
          <w:numId w:val="11"/>
        </w:numPr>
        <w:jc w:val="both"/>
        <w:rPr>
          <w:rFonts w:ascii="Times New Roman" w:hAnsi="Times New Roman" w:cs="Times New Roman"/>
          <w:sz w:val="24"/>
          <w:szCs w:val="24"/>
        </w:rPr>
      </w:pPr>
      <w:r w:rsidRPr="00640522">
        <w:rPr>
          <w:rFonts w:ascii="Times New Roman" w:hAnsi="Times New Roman" w:cs="Times New Roman"/>
          <w:sz w:val="24"/>
          <w:szCs w:val="24"/>
        </w:rPr>
        <w:t>Inspiring Global and Regional Initiatives: Bangladesh's trailblazing work with MBGC encourages countries and areas nearby to investigate comparable sustainable urban solutions. This knock-on impact supports the worldwide effort to build more resilient and sustainable cities, which is in line with SDG 11.1's main objectives.</w:t>
      </w:r>
    </w:p>
    <w:p w:rsidR="00581ED7" w:rsidRPr="00581ED7" w:rsidRDefault="00581ED7" w:rsidP="00BA7002">
      <w:pPr>
        <w:jc w:val="both"/>
        <w:rPr>
          <w:rFonts w:ascii="Times New Roman" w:hAnsi="Times New Roman" w:cs="Times New Roman"/>
          <w:b/>
          <w:sz w:val="24"/>
          <w:szCs w:val="24"/>
          <w:lang w:val="en-US"/>
        </w:rPr>
      </w:pPr>
      <w:r w:rsidRPr="00581ED7">
        <w:rPr>
          <w:rFonts w:ascii="Times New Roman" w:hAnsi="Times New Roman" w:cs="Times New Roman"/>
          <w:b/>
          <w:sz w:val="24"/>
          <w:szCs w:val="24"/>
          <w:lang w:val="en-US"/>
        </w:rPr>
        <w:t>A Comprehensive Plan for Urban Change</w:t>
      </w:r>
    </w:p>
    <w:p w:rsidR="00581ED7" w:rsidRPr="00640522" w:rsidRDefault="00581ED7" w:rsidP="00BA7002">
      <w:pPr>
        <w:pStyle w:val="Paragrafoelenco"/>
        <w:numPr>
          <w:ilvl w:val="0"/>
          <w:numId w:val="29"/>
        </w:numPr>
        <w:jc w:val="both"/>
        <w:rPr>
          <w:rFonts w:ascii="Times New Roman" w:hAnsi="Times New Roman" w:cs="Times New Roman"/>
          <w:sz w:val="24"/>
          <w:szCs w:val="24"/>
        </w:rPr>
      </w:pPr>
      <w:r w:rsidRPr="00640522">
        <w:rPr>
          <w:rFonts w:ascii="Times New Roman" w:hAnsi="Times New Roman" w:cs="Times New Roman"/>
          <w:sz w:val="24"/>
          <w:szCs w:val="24"/>
        </w:rPr>
        <w:t xml:space="preserve">Beyond Technology: An All-encompassing Strategy The adoption of MBGC in Bangladesh represents a paradigm change, realizing that achieving urban sustainability requires a </w:t>
      </w:r>
      <w:r w:rsidRPr="00640522">
        <w:rPr>
          <w:rFonts w:ascii="Times New Roman" w:hAnsi="Times New Roman" w:cs="Times New Roman"/>
          <w:sz w:val="24"/>
          <w:szCs w:val="24"/>
        </w:rPr>
        <w:lastRenderedPageBreak/>
        <w:t>multifaceted strategy. It recognizes that genuine sustainability goes beyond technology advancement and revolutionizes not only energy production but also social and environmental aspects.</w:t>
      </w:r>
    </w:p>
    <w:p w:rsidR="00581ED7" w:rsidRPr="00640522" w:rsidRDefault="00581ED7" w:rsidP="00BA7002">
      <w:pPr>
        <w:pStyle w:val="Paragrafoelenco"/>
        <w:numPr>
          <w:ilvl w:val="0"/>
          <w:numId w:val="29"/>
        </w:numPr>
        <w:jc w:val="both"/>
        <w:rPr>
          <w:rFonts w:ascii="Times New Roman" w:hAnsi="Times New Roman" w:cs="Times New Roman"/>
          <w:sz w:val="24"/>
          <w:szCs w:val="24"/>
        </w:rPr>
      </w:pPr>
      <w:r w:rsidRPr="00640522">
        <w:rPr>
          <w:rFonts w:ascii="Times New Roman" w:hAnsi="Times New Roman" w:cs="Times New Roman"/>
          <w:sz w:val="24"/>
          <w:szCs w:val="24"/>
        </w:rPr>
        <w:t>Empowering Communities: The incorporation of MBGC presents a special chance for community empowerment. Residents play a crucial role in the transition towards a sustainable urban future by actively participating in the technology's deployment, receiving training, and receiving education. A sense of collaborative duty and ownership is fostered by this empowerment.</w:t>
      </w:r>
    </w:p>
    <w:p w:rsidR="00581ED7" w:rsidRPr="00640522" w:rsidRDefault="00581ED7" w:rsidP="00BA7002">
      <w:pPr>
        <w:pStyle w:val="Paragrafoelenco"/>
        <w:numPr>
          <w:ilvl w:val="0"/>
          <w:numId w:val="29"/>
        </w:numPr>
        <w:jc w:val="both"/>
        <w:rPr>
          <w:rFonts w:ascii="Times New Roman" w:hAnsi="Times New Roman" w:cs="Times New Roman"/>
          <w:sz w:val="24"/>
          <w:szCs w:val="24"/>
        </w:rPr>
      </w:pPr>
      <w:r w:rsidRPr="00640522">
        <w:rPr>
          <w:rFonts w:ascii="Times New Roman" w:hAnsi="Times New Roman" w:cs="Times New Roman"/>
          <w:sz w:val="24"/>
          <w:szCs w:val="24"/>
        </w:rPr>
        <w:t>Environmental Stewardship: By addressing the two challenges of waste management and renewable energy production, MBGC is in line with environmental stewardship. Bangladesh reduces its environmental footprint and contributes to a cleaner, more sustainable environment by creating biogas and diverting organic waste from landfills.</w:t>
      </w:r>
    </w:p>
    <w:p w:rsidR="00581ED7" w:rsidRPr="00640522" w:rsidRDefault="00581ED7" w:rsidP="00BA7002">
      <w:pPr>
        <w:pStyle w:val="Paragrafoelenco"/>
        <w:numPr>
          <w:ilvl w:val="0"/>
          <w:numId w:val="29"/>
        </w:numPr>
        <w:jc w:val="both"/>
        <w:rPr>
          <w:rFonts w:ascii="Times New Roman" w:hAnsi="Times New Roman" w:cs="Times New Roman"/>
          <w:sz w:val="24"/>
          <w:szCs w:val="24"/>
        </w:rPr>
      </w:pPr>
      <w:r w:rsidRPr="00640522">
        <w:rPr>
          <w:rFonts w:ascii="Times New Roman" w:hAnsi="Times New Roman" w:cs="Times New Roman"/>
          <w:sz w:val="24"/>
          <w:szCs w:val="24"/>
        </w:rPr>
        <w:t xml:space="preserve">Global Leadership in Sustainable Urban Development: Bangladesh is establishing itself as a leader in the international conversation on sustainable urban development by implementing the MBGC. </w:t>
      </w:r>
    </w:p>
    <w:p w:rsidR="00581ED7" w:rsidRPr="00640522" w:rsidRDefault="00581ED7" w:rsidP="00BA7002">
      <w:pPr>
        <w:pStyle w:val="Paragrafoelenco"/>
        <w:numPr>
          <w:ilvl w:val="0"/>
          <w:numId w:val="29"/>
        </w:numPr>
        <w:jc w:val="both"/>
        <w:rPr>
          <w:rFonts w:ascii="Times New Roman" w:hAnsi="Times New Roman" w:cs="Times New Roman"/>
          <w:sz w:val="24"/>
          <w:szCs w:val="24"/>
        </w:rPr>
      </w:pPr>
      <w:r w:rsidRPr="00640522">
        <w:rPr>
          <w:rFonts w:ascii="Times New Roman" w:hAnsi="Times New Roman" w:cs="Times New Roman"/>
          <w:sz w:val="24"/>
          <w:szCs w:val="24"/>
        </w:rPr>
        <w:lastRenderedPageBreak/>
        <w:t>Strategic Organizing for Upcoming Difficulties: Although difficulties can arise, Bangladesh deserves praise for its ability to strategically plan to overcome them. Effective implementation is characterized by anticipating and proactively eliminating potential obstacles, which facilitates a more seamless transition towards urban sustainability.</w:t>
      </w:r>
    </w:p>
    <w:p w:rsidR="00581ED7" w:rsidRPr="00640522" w:rsidRDefault="00581ED7" w:rsidP="00BA7002">
      <w:pPr>
        <w:pStyle w:val="Paragrafoelenco"/>
        <w:numPr>
          <w:ilvl w:val="0"/>
          <w:numId w:val="29"/>
        </w:numPr>
        <w:jc w:val="both"/>
        <w:rPr>
          <w:rFonts w:ascii="Times New Roman" w:hAnsi="Times New Roman" w:cs="Times New Roman"/>
          <w:sz w:val="24"/>
          <w:szCs w:val="24"/>
        </w:rPr>
      </w:pPr>
      <w:r w:rsidRPr="00640522">
        <w:rPr>
          <w:rFonts w:ascii="Times New Roman" w:hAnsi="Times New Roman" w:cs="Times New Roman"/>
          <w:sz w:val="24"/>
          <w:szCs w:val="24"/>
        </w:rPr>
        <w:t>Limitless Potential Benefits: There are a lot of potential advantages to using MBGC. The benefits of urbanization are manifold, ranging from less reliance on non-renewable energy sources to improved waste management techniques and the generation of local job opportunities.</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Bangladesh is on the cusp of a revolution in urban sustainability at this early stage. Future urban environments that are more resilient, inclusive, and sustainable are promised by the integration of MBGC. Bangladesh has the chance to set the standard for urban sustainability and represent SDG 11.1 globally by using vision, community involvement, and a complete strategy.</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 xml:space="preserve">Recognizing that the intended integration goes well beyond technology is crucial as we venture into the </w:t>
      </w:r>
      <w:r w:rsidRPr="00581ED7">
        <w:rPr>
          <w:rFonts w:ascii="Times New Roman" w:hAnsi="Times New Roman" w:cs="Times New Roman"/>
          <w:sz w:val="24"/>
          <w:szCs w:val="24"/>
          <w:lang w:val="en-US"/>
        </w:rPr>
        <w:lastRenderedPageBreak/>
        <w:t>unknown world of MBGC implementation in Bangladesh. It includes social empowerment, environmental protection, and establishing Bangladesh as a leader in sustainable urban development on a worldwide scale. Although there might be difficulties, there are countless possible advantages. In line with SDG 11.1 Bangladesh has the chance to lead the way in a new era of urban sustainability through strategic planning and community involvement.</w:t>
      </w:r>
    </w:p>
    <w:p w:rsidR="00581ED7" w:rsidRPr="00581ED7" w:rsidRDefault="00581ED7" w:rsidP="00BA7002">
      <w:pPr>
        <w:jc w:val="both"/>
        <w:rPr>
          <w:rFonts w:ascii="Times New Roman" w:hAnsi="Times New Roman" w:cs="Times New Roman"/>
          <w:sz w:val="24"/>
          <w:szCs w:val="24"/>
          <w:lang w:val="en-US"/>
        </w:rPr>
      </w:pP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Ecological harmony and long-term sustainability will be given priority in the future with the incorporation of MBGC technology. This is a significant shift. It represents a paradigm shift that goes beyond simple technology improvement, encapsulating a strong dedication to global sustainability goals and acknowledging the critical role that creative solutions play in tackling urgent environmental concerns.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Adopting MBGC technology is a moral necessity for professionals, managers, and decision-makers working in the fields of clean energy and environmental sustainability, going beyond simple strategic pragmatism. When put into practise, it offers a real chance to reduce the impact on the environment, improve the use of resources, and make a major contribution to the achievement of the Sustainable Development Goals.</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lastRenderedPageBreak/>
        <w:t>In addition, the application of MBGC technology is consistent with a more global movement towards responsible resource management that cuts beyond national borders. Because of its scalability and adaptability, it may have an impact well beyond national borders, aligning with the larger philosophy of international cooperation for sustainable development.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Not only are waste management and energy generation being revolutionized through the practical use of MBGC technology, but we are also laying the groundwork for a more robust, sustainable, and peaceful coexistence between human endeavour and the natural world. This paradigm change not only strengthens the case for global sustainability but also opens up a wide range of possibilities for advancement, inventiveness, and most crucially, a long-lasting favourable effect on the environment.</w:t>
      </w:r>
    </w:p>
    <w:p w:rsidR="00581ED7" w:rsidRPr="00581ED7" w:rsidRDefault="00581ED7" w:rsidP="00BA7002">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t>Fundamentally, the incorporation of MBGC technology is a sign of hope and human creativity, demonstrating our ability to create a future in which human wealth and ecological integrity coexist together. It is a loud assertion of our common need to protect the environment and leave a legacy of lasting environmental wellbeing for future generations.</w:t>
      </w:r>
    </w:p>
    <w:p w:rsidR="00581ED7" w:rsidRPr="00581ED7" w:rsidRDefault="00581ED7" w:rsidP="00581ED7">
      <w:pPr>
        <w:rPr>
          <w:lang w:val="en-US"/>
        </w:rPr>
      </w:pPr>
    </w:p>
    <w:p w:rsidR="00A5560C" w:rsidRDefault="00A5560C">
      <w:pPr>
        <w:rPr>
          <w:lang w:val="en-US"/>
        </w:rPr>
      </w:pPr>
      <w:r>
        <w:rPr>
          <w:lang w:val="en-US"/>
        </w:rPr>
        <w:lastRenderedPageBreak/>
        <w:br w:type="page"/>
      </w:r>
    </w:p>
    <w:p w:rsidR="00581ED7" w:rsidRPr="00581ED7" w:rsidRDefault="00581ED7" w:rsidP="00581ED7">
      <w:pPr>
        <w:rPr>
          <w:lang w:val="en-US"/>
        </w:rPr>
      </w:pPr>
    </w:p>
    <w:p w:rsidR="00D86830" w:rsidRPr="00581ED7" w:rsidRDefault="00D86830" w:rsidP="00E40853">
      <w:pPr>
        <w:spacing w:line="360" w:lineRule="auto"/>
        <w:jc w:val="both"/>
        <w:rPr>
          <w:rFonts w:ascii="Times New Roman" w:hAnsi="Times New Roman" w:cs="Times New Roman"/>
          <w:sz w:val="24"/>
          <w:szCs w:val="24"/>
          <w:lang w:val="en-US"/>
        </w:rPr>
      </w:pPr>
    </w:p>
    <w:p w:rsidR="00173CE6" w:rsidRPr="00581ED7" w:rsidRDefault="00173CE6" w:rsidP="00E40853">
      <w:pPr>
        <w:spacing w:line="360" w:lineRule="auto"/>
        <w:jc w:val="both"/>
        <w:rPr>
          <w:rFonts w:ascii="Times New Roman" w:hAnsi="Times New Roman" w:cs="Times New Roman"/>
          <w:sz w:val="24"/>
          <w:szCs w:val="24"/>
          <w:lang w:val="en-US"/>
        </w:rPr>
      </w:pPr>
    </w:p>
    <w:p w:rsidR="00173CE6" w:rsidRPr="00581ED7" w:rsidRDefault="00173CE6" w:rsidP="00E40853">
      <w:pPr>
        <w:spacing w:line="360" w:lineRule="auto"/>
        <w:jc w:val="both"/>
        <w:rPr>
          <w:rFonts w:ascii="Times New Roman" w:hAnsi="Times New Roman" w:cs="Times New Roman"/>
          <w:sz w:val="24"/>
          <w:szCs w:val="24"/>
          <w:lang w:val="en-US"/>
        </w:rPr>
      </w:pPr>
    </w:p>
    <w:p w:rsidR="00670B98" w:rsidRPr="00581ED7" w:rsidRDefault="00670B98" w:rsidP="00E40853">
      <w:pPr>
        <w:jc w:val="both"/>
        <w:rPr>
          <w:rFonts w:ascii="Times New Roman" w:hAnsi="Times New Roman" w:cs="Times New Roman"/>
          <w:sz w:val="24"/>
          <w:szCs w:val="24"/>
          <w:lang w:val="en-US"/>
        </w:rPr>
      </w:pPr>
      <w:r w:rsidRPr="00581ED7">
        <w:rPr>
          <w:rFonts w:ascii="Times New Roman" w:hAnsi="Times New Roman" w:cs="Times New Roman"/>
          <w:sz w:val="24"/>
          <w:szCs w:val="24"/>
          <w:lang w:val="en-US"/>
        </w:rPr>
        <w:br w:type="page"/>
      </w:r>
    </w:p>
    <w:p w:rsidR="00670B98" w:rsidRPr="00E40853" w:rsidRDefault="00670B98" w:rsidP="00E40853">
      <w:pPr>
        <w:pStyle w:val="Heading1"/>
        <w:ind w:left="0"/>
        <w:jc w:val="right"/>
        <w:rPr>
          <w:lang w:val="en-US"/>
        </w:rPr>
      </w:pPr>
      <w:bookmarkStart w:id="7" w:name="_Toc150285336"/>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7"/>
    </w:p>
    <w:p w:rsidR="00670B98" w:rsidRPr="00E40853" w:rsidRDefault="00F40329" w:rsidP="00E40853">
      <w:pPr>
        <w:pStyle w:val="Heading3"/>
        <w:ind w:left="0"/>
        <w:jc w:val="right"/>
        <w:rPr>
          <w:b w:val="0"/>
          <w:lang w:val="en-US"/>
        </w:rPr>
      </w:pPr>
      <w:hyperlink r:id="rId8" w:history="1">
        <w:r w:rsidR="00670B98" w:rsidRPr="00E40853">
          <w:rPr>
            <w:rStyle w:val="Enfasigrassetto"/>
            <w:b/>
            <w:iCs w:val="0"/>
            <w:color w:val="0000FF"/>
            <w:u w:val="single"/>
            <w:lang w:val="en-US"/>
          </w:rPr>
          <w:t>joules</w:t>
        </w:r>
      </w:hyperlink>
      <w:r w:rsidR="00670B98" w:rsidRPr="00E40853">
        <w:rPr>
          <w:b w:val="0"/>
          <w:lang w:val="en-US"/>
        </w:rPr>
        <w:t xml:space="preserve"> </w:t>
      </w:r>
      <w:hyperlink r:id="rId9" w:history="1">
        <w:r w:rsidR="00670B98" w:rsidRPr="00E40853">
          <w:rPr>
            <w:rStyle w:val="Enfasigrassetto"/>
            <w:b/>
            <w:iCs w:val="0"/>
            <w:color w:val="0000FF"/>
            <w:u w:val="single"/>
            <w:lang w:val="en-US"/>
          </w:rPr>
          <w:t xml:space="preserve"> </w:t>
        </w:r>
      </w:hyperlink>
      <w:hyperlink r:id="rId10" w:history="1">
        <w:r w:rsidR="00670B98" w:rsidRPr="00E40853">
          <w:rPr>
            <w:rStyle w:val="Enfasigrassetto"/>
            <w:b/>
            <w:iCs w:val="0"/>
            <w:color w:val="0000FF"/>
            <w:u w:val="single"/>
            <w:lang w:val="en-US"/>
          </w:rPr>
          <w:t>water  team</w:t>
        </w:r>
      </w:hyperlink>
    </w:p>
    <w:p w:rsidR="00670B98" w:rsidRPr="00E40853" w:rsidRDefault="00F40329" w:rsidP="00E40853">
      <w:pPr>
        <w:spacing w:before="1"/>
        <w:jc w:val="right"/>
        <w:rPr>
          <w:rFonts w:ascii="Times New Roman" w:hAnsi="Times New Roman" w:cs="Times New Roman"/>
          <w:sz w:val="24"/>
          <w:szCs w:val="24"/>
          <w:lang w:val="en-US"/>
        </w:rPr>
      </w:pPr>
      <w:hyperlink r:id="rId11" w:history="1">
        <w:r w:rsidR="00670B98" w:rsidRPr="00E40853">
          <w:rPr>
            <w:rStyle w:val="Collegamentoipertestuale"/>
            <w:rFonts w:ascii="Times New Roman" w:hAnsi="Times New Roman" w:cs="Times New Roman"/>
            <w:b/>
            <w:i/>
            <w:sz w:val="24"/>
            <w:szCs w:val="24"/>
            <w:lang w:val="en-US"/>
          </w:rPr>
          <w:t>https://www.jwt-jwt.it/</w:t>
        </w:r>
      </w:hyperlink>
    </w:p>
    <w:p w:rsidR="00670B98" w:rsidRPr="00E40853" w:rsidRDefault="00670B98" w:rsidP="00E40853">
      <w:pPr>
        <w:pStyle w:val="Corpodeltesto"/>
        <w:spacing w:before="2"/>
        <w:rPr>
          <w:b/>
          <w:sz w:val="24"/>
          <w:lang w:val="en-US"/>
        </w:rPr>
      </w:pPr>
    </w:p>
    <w:p w:rsidR="00670B98" w:rsidRDefault="00670B98" w:rsidP="00E40853">
      <w:pPr>
        <w:pStyle w:val="Corpodeltesto"/>
        <w:spacing w:before="2"/>
        <w:rPr>
          <w:b/>
          <w:sz w:val="24"/>
          <w:lang w:val="en-US"/>
        </w:rPr>
      </w:pPr>
      <w:r w:rsidRPr="00E40853">
        <w:rPr>
          <w:b/>
          <w:sz w:val="24"/>
          <w:lang w:val="en-US"/>
        </w:rPr>
        <w:t>Subject to the NDA, consultancy and appropriate industrial property rights are available</w:t>
      </w:r>
      <w:r w:rsidR="005E3357">
        <w:rPr>
          <w:b/>
          <w:sz w:val="24"/>
          <w:lang w:val="en-US"/>
        </w:rPr>
        <w:t>;</w:t>
      </w:r>
    </w:p>
    <w:p w:rsidR="005E3357" w:rsidRPr="00E40853" w:rsidRDefault="005E3357" w:rsidP="00E40853">
      <w:pPr>
        <w:pStyle w:val="Corpodeltesto"/>
        <w:spacing w:before="2"/>
        <w:rPr>
          <w:b/>
          <w:sz w:val="24"/>
          <w:lang w:val="en-US"/>
        </w:rPr>
      </w:pPr>
    </w:p>
    <w:p w:rsidR="00670B98" w:rsidRPr="00E40853" w:rsidRDefault="00670B98" w:rsidP="00E40853">
      <w:pPr>
        <w:pStyle w:val="Corpodeltesto"/>
        <w:spacing w:before="2"/>
        <w:rPr>
          <w:sz w:val="24"/>
          <w:lang w:val="en-US"/>
        </w:rPr>
      </w:pPr>
    </w:p>
    <w:p w:rsidR="00670B98" w:rsidRPr="00E40853" w:rsidRDefault="00670B98" w:rsidP="00E40853">
      <w:pPr>
        <w:pStyle w:val="Corpodeltesto"/>
        <w:spacing w:before="2"/>
        <w:rPr>
          <w:sz w:val="24"/>
          <w:lang w:val="en-US"/>
        </w:rPr>
      </w:pPr>
      <w:r w:rsidRPr="00E40853">
        <w:rPr>
          <w:sz w:val="24"/>
          <w:lang w:val="en-US"/>
        </w:rPr>
        <w:t xml:space="preserve">( </w:t>
      </w:r>
      <w:hyperlink r:id="rId12"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3" w:history="1">
        <w:r w:rsidRPr="00E40853">
          <w:rPr>
            <w:rStyle w:val="Collegamentoipertestuale"/>
            <w:sz w:val="24"/>
            <w:lang w:val="en-US"/>
          </w:rPr>
          <w:t xml:space="preserve">Patents and Projects, with relevant BPs </w:t>
        </w:r>
      </w:hyperlink>
      <w:hyperlink r:id="rId14" w:history="1">
        <w:r w:rsidRPr="00E40853">
          <w:rPr>
            <w:rStyle w:val="Collegamentoipertestuale"/>
            <w:sz w:val="24"/>
            <w:lang w:val="en-US"/>
          </w:rPr>
          <w:t xml:space="preserve">and </w:t>
        </w:r>
      </w:hyperlink>
      <w:hyperlink r:id="rId15" w:history="1">
        <w:r w:rsidRPr="00E40853">
          <w:rPr>
            <w:rStyle w:val="Collegamentoipertestuale"/>
            <w:sz w:val="24"/>
            <w:lang w:val="en-US"/>
          </w:rPr>
          <w:t>StartKit</w:t>
        </w:r>
      </w:hyperlink>
      <w:hyperlink r:id="rId16" w:history="1">
        <w:r w:rsidRPr="00E40853">
          <w:rPr>
            <w:rStyle w:val="Collegamentoipertestuale"/>
            <w:sz w:val="24"/>
            <w:lang w:val="en-US"/>
          </w:rPr>
          <w:t xml:space="preserve"> </w:t>
        </w:r>
      </w:hyperlink>
      <w:hyperlink r:id="rId17" w:history="1">
        <w:r w:rsidRPr="00E40853">
          <w:rPr>
            <w:rStyle w:val="Collegamentoipertestuale"/>
            <w:sz w:val="24"/>
            <w:lang w:val="en-US"/>
          </w:rPr>
          <w:t xml:space="preserve">Commercial Offers </w:t>
        </w:r>
      </w:hyperlink>
      <w:r w:rsidRPr="00E40853">
        <w:rPr>
          <w:sz w:val="24"/>
          <w:lang w:val="en-US"/>
        </w:rPr>
        <w:t xml:space="preserve"> )</w:t>
      </w:r>
    </w:p>
    <w:p w:rsidR="00670B98" w:rsidRPr="00E40853" w:rsidRDefault="00670B98" w:rsidP="00E40853">
      <w:pPr>
        <w:pStyle w:val="Corpodeltesto"/>
        <w:spacing w:before="2"/>
        <w:rPr>
          <w:sz w:val="24"/>
          <w:lang w:val="en-US"/>
        </w:rPr>
      </w:pPr>
    </w:p>
    <w:p w:rsidR="00832F6A" w:rsidRPr="00E40853" w:rsidRDefault="00832F6A" w:rsidP="00E40853">
      <w:pPr>
        <w:pStyle w:val="Corpodeltesto"/>
        <w:spacing w:before="2"/>
        <w:rPr>
          <w:rStyle w:val="Enfasigrassetto"/>
          <w:sz w:val="24"/>
          <w:lang w:val="en-US"/>
        </w:rPr>
      </w:pPr>
    </w:p>
    <w:p w:rsidR="00832F6A" w:rsidRPr="00E40853" w:rsidRDefault="00670B98" w:rsidP="00E40853">
      <w:pPr>
        <w:pStyle w:val="Corpodeltesto"/>
        <w:spacing w:before="2"/>
        <w:rPr>
          <w:rStyle w:val="Enfasigrassetto"/>
          <w:sz w:val="24"/>
          <w:lang w:val="en-US"/>
        </w:rPr>
      </w:pPr>
      <w:r w:rsidRPr="00E40853">
        <w:rPr>
          <w:rStyle w:val="Enfasigrassetto"/>
          <w:sz w:val="24"/>
          <w:lang w:val="en-US"/>
        </w:rPr>
        <w:t xml:space="preserve">JWTeam </w:t>
      </w:r>
    </w:p>
    <w:p w:rsidR="00832F6A" w:rsidRPr="00E40853" w:rsidRDefault="00832F6A" w:rsidP="00E40853">
      <w:pPr>
        <w:pStyle w:val="Corpodeltesto"/>
        <w:spacing w:before="2"/>
        <w:rPr>
          <w:rStyle w:val="Enfasigrassetto"/>
          <w:sz w:val="24"/>
          <w:lang w:val="en-US"/>
        </w:rPr>
      </w:pPr>
    </w:p>
    <w:p w:rsidR="00832F6A" w:rsidRPr="00E40853" w:rsidRDefault="00F40329" w:rsidP="007E7997">
      <w:pPr>
        <w:pStyle w:val="Corpodeltesto"/>
        <w:spacing w:before="2"/>
        <w:rPr>
          <w:sz w:val="24"/>
          <w:lang w:val="en-US"/>
        </w:rPr>
      </w:pPr>
      <w:hyperlink r:id="rId18" w:history="1">
        <w:r w:rsidR="00670B98" w:rsidRPr="00E40853">
          <w:rPr>
            <w:rStyle w:val="Collegamentoipertestuale"/>
            <w:sz w:val="24"/>
            <w:lang w:val="en-US"/>
          </w:rPr>
          <w:t>http://www.expotv1.com/ESCP_NUT_Team.pdf</w:t>
        </w:r>
      </w:hyperlink>
    </w:p>
    <w:p w:rsidR="00670B98" w:rsidRPr="005E3357" w:rsidRDefault="00670B98" w:rsidP="007E7997">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9" w:history="1">
        <w:r w:rsidRPr="00E40853">
          <w:rPr>
            <w:rStyle w:val="Enfasicorsivo"/>
            <w:b/>
            <w:bCs/>
            <w:color w:val="008000"/>
            <w:sz w:val="24"/>
            <w:u w:val="single"/>
            <w:lang w:val="en-US"/>
          </w:rPr>
          <w:t xml:space="preserve">IP_S </w:t>
        </w:r>
      </w:hyperlink>
      <w:hyperlink r:id="rId20" w:history="1">
        <w:r w:rsidRPr="00E40853">
          <w:rPr>
            <w:rStyle w:val="Enfasicorsivo"/>
            <w:b/>
            <w:bCs/>
            <w:color w:val="008000"/>
            <w:sz w:val="24"/>
            <w:u w:val="single"/>
            <w:lang w:val="en-US"/>
          </w:rPr>
          <w:t xml:space="preserve">DGs </w:t>
        </w:r>
      </w:hyperlink>
      <w:hyperlink r:id="rId21" w:history="1">
        <w:r w:rsidRPr="00E40853">
          <w:rPr>
            <w:rStyle w:val="Enfasicorsivo"/>
            <w:b/>
            <w:bCs/>
            <w:color w:val="008000"/>
            <w:sz w:val="24"/>
            <w:u w:val="single"/>
            <w:lang w:val="en-US"/>
          </w:rPr>
          <w:t>/UN</w:t>
        </w:r>
      </w:hyperlink>
    </w:p>
    <w:p w:rsidR="007E7997" w:rsidRPr="00E40853" w:rsidRDefault="007E7997" w:rsidP="00E40853">
      <w:pPr>
        <w:jc w:val="both"/>
        <w:rPr>
          <w:rStyle w:val="rynqvb"/>
          <w:rFonts w:ascii="Times New Roman" w:hAnsi="Times New Roman" w:cs="Times New Roman"/>
          <w:b/>
          <w:sz w:val="24"/>
          <w:szCs w:val="24"/>
          <w:lang w:val="en-US"/>
        </w:rPr>
      </w:pPr>
    </w:p>
    <w:p w:rsidR="00670B98" w:rsidRPr="00E536DE" w:rsidRDefault="00670B98" w:rsidP="007E7997">
      <w:pPr>
        <w:pStyle w:val="Titolo1"/>
        <w:rPr>
          <w:rStyle w:val="rynqvb"/>
          <w:szCs w:val="24"/>
          <w:lang w:val="en-US"/>
        </w:rPr>
      </w:pPr>
      <w:bookmarkStart w:id="8" w:name="_Toc150285337"/>
      <w:r w:rsidRPr="00E536DE">
        <w:rPr>
          <w:rStyle w:val="rynqvb"/>
          <w:szCs w:val="24"/>
          <w:lang w:val="en-US"/>
        </w:rPr>
        <w:t>Bibliography/Conclusion</w:t>
      </w:r>
      <w:bookmarkEnd w:id="8"/>
    </w:p>
    <w:p w:rsidR="00330901" w:rsidRPr="00330901" w:rsidRDefault="00330901" w:rsidP="00330901">
      <w:pPr>
        <w:rPr>
          <w:lang w:val="en-US"/>
        </w:rPr>
      </w:pPr>
    </w:p>
    <w:p w:rsidR="00670B98" w:rsidRPr="00E40853" w:rsidRDefault="00E536DE" w:rsidP="00E40853">
      <w:pPr>
        <w:jc w:val="both"/>
        <w:rPr>
          <w:rStyle w:val="rynqvb"/>
          <w:rFonts w:ascii="Times New Roman" w:hAnsi="Times New Roman" w:cs="Times New Roman"/>
          <w:sz w:val="24"/>
          <w:szCs w:val="24"/>
          <w:lang w:val="en-US"/>
        </w:rPr>
      </w:pPr>
      <w:r w:rsidRPr="00E536DE">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The Owners/Inventors of the Editorial rights on the source </w:t>
      </w:r>
      <w:r w:rsidRPr="00E536DE">
        <w:rPr>
          <w:rStyle w:val="rynqvb"/>
          <w:rFonts w:ascii="Times New Roman" w:hAnsi="Times New Roman" w:cs="Times New Roman"/>
          <w:sz w:val="24"/>
          <w:szCs w:val="24"/>
          <w:lang w:val="en-US"/>
        </w:rPr>
        <w:lastRenderedPageBreak/>
        <w:t>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w:t>
      </w:r>
      <w:r w:rsidR="00670B98" w:rsidRPr="00E40853">
        <w:rPr>
          <w:rStyle w:val="rynqvb"/>
          <w:rFonts w:ascii="Times New Roman" w:hAnsi="Times New Roman" w:cs="Times New Roman"/>
          <w:sz w:val="24"/>
          <w:szCs w:val="24"/>
          <w:lang w:val="en-US"/>
        </w:rPr>
        <w:t xml:space="preserve"> </w:t>
      </w:r>
      <w:hyperlink r:id="rId22" w:history="1">
        <w:r w:rsidR="00670B98" w:rsidRPr="00E40853">
          <w:rPr>
            <w:rStyle w:val="Collegamentoipertestuale"/>
            <w:rFonts w:ascii="Times New Roman" w:hAnsi="Times New Roman" w:cs="Times New Roman"/>
            <w:b/>
            <w:sz w:val="24"/>
            <w:szCs w:val="24"/>
            <w:lang w:val="en-US"/>
          </w:rPr>
          <w:t>JWTeam</w:t>
        </w:r>
      </w:hyperlink>
      <w:r w:rsidR="00670B98" w:rsidRPr="00E40853">
        <w:rPr>
          <w:rStyle w:val="rynqvb"/>
          <w:rFonts w:ascii="Times New Roman" w:hAnsi="Times New Roman" w:cs="Times New Roman"/>
          <w:sz w:val="24"/>
          <w:szCs w:val="24"/>
          <w:lang w:val="en-US"/>
        </w:rPr>
        <w:t xml:space="preserve"> reviews and oversees the dissemination of </w:t>
      </w:r>
      <w:hyperlink r:id="rId23" w:history="1">
        <w:r w:rsidR="00670B98" w:rsidRPr="00E40853">
          <w:rPr>
            <w:rStyle w:val="Collegamentoipertestuale"/>
            <w:rFonts w:ascii="Times New Roman" w:hAnsi="Times New Roman" w:cs="Times New Roman"/>
            <w:b/>
            <w:sz w:val="24"/>
            <w:szCs w:val="24"/>
            <w:lang w:val="en-US"/>
          </w:rPr>
          <w:t>SDGs/UN</w:t>
        </w:r>
      </w:hyperlink>
      <w:r w:rsidR="00670B98" w:rsidRPr="00E40853">
        <w:rPr>
          <w:rStyle w:val="rynqvb"/>
          <w:rFonts w:ascii="Times New Roman" w:hAnsi="Times New Roman" w:cs="Times New Roman"/>
          <w:sz w:val="24"/>
          <w:szCs w:val="24"/>
          <w:lang w:val="en-US"/>
        </w:rPr>
        <w:t>, pronouncing itself with the pseudonym "</w:t>
      </w:r>
      <w:r w:rsidR="00670B98" w:rsidRPr="00E40853">
        <w:rPr>
          <w:rStyle w:val="rynqvb"/>
          <w:rFonts w:ascii="Times New Roman" w:hAnsi="Times New Roman" w:cs="Times New Roman"/>
          <w:b/>
          <w:color w:val="00B050"/>
          <w:sz w:val="24"/>
          <w:szCs w:val="24"/>
          <w:lang w:val="en-US"/>
        </w:rPr>
        <w:t>Ghost GREEN</w:t>
      </w:r>
      <w:r w:rsidR="00670B98" w:rsidRPr="00E40853">
        <w:rPr>
          <w:rStyle w:val="rynqvb"/>
          <w:rFonts w:ascii="Times New Roman" w:hAnsi="Times New Roman" w:cs="Times New Roman"/>
          <w:sz w:val="24"/>
          <w:szCs w:val="24"/>
          <w:lang w:val="en-US"/>
        </w:rPr>
        <w:t>".</w:t>
      </w:r>
    </w:p>
    <w:p w:rsidR="00AA304A" w:rsidRDefault="00AA304A" w:rsidP="00AA304A">
      <w:pPr>
        <w:pStyle w:val="Titolo1"/>
        <w:rPr>
          <w:rStyle w:val="rynqvb"/>
          <w:rFonts w:eastAsiaTheme="minorHAnsi" w:cs="Times New Roman"/>
          <w:b w:val="0"/>
          <w:bCs w:val="0"/>
          <w:color w:val="auto"/>
          <w:sz w:val="24"/>
          <w:szCs w:val="24"/>
          <w:lang w:val="en-US"/>
        </w:rPr>
      </w:pPr>
    </w:p>
    <w:p w:rsidR="00670B98" w:rsidRPr="00330901" w:rsidRDefault="00074C21" w:rsidP="00074C21">
      <w:pPr>
        <w:pStyle w:val="Titolo1"/>
        <w:rPr>
          <w:rStyle w:val="rynqvb"/>
          <w:szCs w:val="24"/>
          <w:lang w:val="en-US"/>
        </w:rPr>
      </w:pPr>
      <w:bookmarkStart w:id="9" w:name="_Toc150285338"/>
      <w:r>
        <w:rPr>
          <w:rStyle w:val="rynqvb"/>
          <w:szCs w:val="24"/>
          <w:lang w:val="en-US"/>
        </w:rPr>
        <w:t>Digester</w:t>
      </w:r>
      <w:r w:rsidR="00AA304A" w:rsidRPr="00330901">
        <w:rPr>
          <w:rStyle w:val="rynqvb"/>
          <w:szCs w:val="24"/>
          <w:lang w:val="en-US"/>
        </w:rPr>
        <w:t xml:space="preserve"> </w:t>
      </w:r>
      <w:r w:rsidR="00670B98" w:rsidRPr="00330901">
        <w:rPr>
          <w:rStyle w:val="rynqvb"/>
          <w:szCs w:val="24"/>
          <w:lang w:val="en-US"/>
        </w:rPr>
        <w:t xml:space="preserve">from </w:t>
      </w:r>
      <w:r>
        <w:rPr>
          <w:rStyle w:val="rynqvb"/>
          <w:szCs w:val="24"/>
          <w:lang w:val="en-US"/>
        </w:rPr>
        <w:t>MBGC</w:t>
      </w:r>
      <w:r w:rsidR="00670B98" w:rsidRPr="00330901">
        <w:rPr>
          <w:rStyle w:val="rynqvb"/>
          <w:szCs w:val="24"/>
          <w:lang w:val="en-US"/>
        </w:rPr>
        <w:t xml:space="preserve"> (source) :</w:t>
      </w:r>
      <w:bookmarkEnd w:id="9"/>
    </w:p>
    <w:p w:rsidR="00AA304A" w:rsidRPr="00AA304A" w:rsidRDefault="00AA304A" w:rsidP="00AA304A">
      <w:pPr>
        <w:rPr>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Patent: </w:t>
      </w:r>
    </w:p>
    <w:p w:rsidR="007D5AA6" w:rsidRPr="00074C21" w:rsidRDefault="00F40329" w:rsidP="00074C21">
      <w:pPr>
        <w:jc w:val="both"/>
        <w:rPr>
          <w:rStyle w:val="tlid-translation"/>
          <w:rFonts w:ascii="Times New Roman" w:hAnsi="Times New Roman" w:cs="Times New Roman"/>
          <w:sz w:val="24"/>
          <w:szCs w:val="24"/>
          <w:lang w:val="en-US"/>
        </w:rPr>
      </w:pPr>
      <w:hyperlink r:id="rId24"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    </w:t>
      </w:r>
      <w:hyperlink r:id="rId25"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r w:rsidR="00074C21" w:rsidRPr="00074C21">
        <w:rPr>
          <w:rFonts w:ascii="Times New Roman" w:hAnsi="Times New Roman" w:cs="Times New Roman"/>
          <w:sz w:val="24"/>
          <w:szCs w:val="24"/>
          <w:lang w:val="en-US"/>
        </w:rPr>
        <w:t xml:space="preserve"> (organic waste to biogas, for urban and periurban); </w:t>
      </w:r>
      <w:hyperlink r:id="rId26" w:history="1">
        <w:r w:rsidR="00074C21" w:rsidRPr="00074C21">
          <w:rPr>
            <w:rStyle w:val="Collegamentoipertestuale"/>
            <w:rFonts w:ascii="Times New Roman" w:hAnsi="Times New Roman" w:cs="Times New Roman"/>
            <w:sz w:val="24"/>
            <w:szCs w:val="24"/>
            <w:lang w:val="en-US"/>
          </w:rPr>
          <w:t>view1</w:t>
        </w:r>
      </w:hyperlink>
      <w:r w:rsidR="00074C21" w:rsidRPr="00074C21">
        <w:rPr>
          <w:rFonts w:ascii="Times New Roman" w:hAnsi="Times New Roman" w:cs="Times New Roman"/>
          <w:sz w:val="24"/>
          <w:szCs w:val="24"/>
          <w:lang w:val="en-US"/>
        </w:rPr>
        <w:t xml:space="preserve">, </w:t>
      </w:r>
      <w:hyperlink r:id="rId27" w:history="1">
        <w:r w:rsidR="00074C21" w:rsidRPr="00074C21">
          <w:rPr>
            <w:rStyle w:val="Collegamentoipertestuale"/>
            <w:rFonts w:ascii="Times New Roman" w:hAnsi="Times New Roman" w:cs="Times New Roman"/>
            <w:sz w:val="24"/>
            <w:szCs w:val="24"/>
            <w:lang w:val="en-US"/>
          </w:rPr>
          <w:t>MBGC_Plan</w:t>
        </w:r>
      </w:hyperlink>
      <w:r w:rsidR="00074C21" w:rsidRPr="00074C21">
        <w:rPr>
          <w:rStyle w:val="tlid-translation"/>
          <w:rFonts w:ascii="Times New Roman" w:hAnsi="Times New Roman" w:cs="Times New Roman"/>
          <w:sz w:val="24"/>
          <w:szCs w:val="24"/>
          <w:lang w:val="en-US"/>
        </w:rPr>
        <w:t xml:space="preserve">, </w:t>
      </w:r>
      <w:hyperlink r:id="rId28" w:history="1">
        <w:r w:rsidR="00074C21" w:rsidRPr="00074C21">
          <w:rPr>
            <w:rStyle w:val="Collegamentoipertestuale"/>
            <w:rFonts w:ascii="Times New Roman" w:hAnsi="Times New Roman" w:cs="Times New Roman"/>
            <w:sz w:val="24"/>
            <w:szCs w:val="24"/>
            <w:lang w:val="en-US"/>
          </w:rPr>
          <w:t>Hello</w:t>
        </w:r>
      </w:hyperlink>
      <w:r w:rsidR="00074C21" w:rsidRPr="00074C21">
        <w:rPr>
          <w:rStyle w:val="tlid-translation"/>
          <w:rFonts w:ascii="Times New Roman" w:hAnsi="Times New Roman" w:cs="Times New Roman"/>
          <w:sz w:val="24"/>
          <w:szCs w:val="24"/>
          <w:lang w:val="en-US"/>
        </w:rPr>
        <w:t>;</w:t>
      </w:r>
    </w:p>
    <w:p w:rsidR="00074C21" w:rsidRPr="00074C21" w:rsidRDefault="00074C21" w:rsidP="00074C21">
      <w:pPr>
        <w:jc w:val="both"/>
        <w:rPr>
          <w:rFonts w:ascii="Times New Roman" w:hAnsi="Times New Roman" w:cs="Times New Roman"/>
          <w:sz w:val="24"/>
          <w:szCs w:val="24"/>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Italy: GRANT </w:t>
      </w:r>
    </w:p>
    <w:p w:rsidR="00074C21" w:rsidRPr="00074C21" w:rsidRDefault="00F40329" w:rsidP="00E40853">
      <w:pPr>
        <w:jc w:val="both"/>
        <w:rPr>
          <w:rFonts w:ascii="Times New Roman" w:hAnsi="Times New Roman" w:cs="Times New Roman"/>
          <w:sz w:val="24"/>
          <w:szCs w:val="24"/>
          <w:lang w:val="en-US"/>
        </w:rPr>
      </w:pPr>
      <w:hyperlink r:id="rId29" w:history="1">
        <w:r w:rsidR="00074C21" w:rsidRPr="00074C21">
          <w:rPr>
            <w:rStyle w:val="Collegamentoipertestuale"/>
            <w:rFonts w:ascii="Times New Roman" w:hAnsi="Times New Roman" w:cs="Times New Roman"/>
            <w:sz w:val="24"/>
            <w:szCs w:val="24"/>
            <w:lang w:val="en-US"/>
          </w:rPr>
          <w:t>http://www.expotv1.com/LIC/MISE_0001427413_MBGC.pdf</w:t>
        </w:r>
      </w:hyperlink>
      <w:r w:rsidR="00074C21" w:rsidRPr="00074C21">
        <w:rPr>
          <w:rFonts w:ascii="Times New Roman" w:hAnsi="Times New Roman" w:cs="Times New Roman"/>
          <w:sz w:val="24"/>
          <w:szCs w:val="24"/>
          <w:lang w:val="en-US"/>
        </w:rPr>
        <w:t>, ...mean "INDUSTRY (useful), NEW (no make before), INVENTIVE (teach some things)"</w:t>
      </w:r>
    </w:p>
    <w:p w:rsidR="00670B98" w:rsidRPr="00074C21" w:rsidRDefault="00670B98" w:rsidP="00E40853">
      <w:pPr>
        <w:jc w:val="both"/>
        <w:rPr>
          <w:rStyle w:val="rynqvb"/>
          <w:rFonts w:ascii="Times New Roman" w:hAnsi="Times New Roman" w:cs="Times New Roman"/>
          <w:sz w:val="24"/>
          <w:szCs w:val="24"/>
          <w:lang w:val="en-US"/>
        </w:rPr>
      </w:pPr>
    </w:p>
    <w:p w:rsidR="00C165F1" w:rsidRPr="00074C21" w:rsidRDefault="00670B98" w:rsidP="00E40853">
      <w:pPr>
        <w:jc w:val="both"/>
        <w:rPr>
          <w:rFonts w:ascii="Times New Roman" w:hAnsi="Times New Roman" w:cs="Times New Roman"/>
          <w:sz w:val="24"/>
          <w:szCs w:val="24"/>
          <w:lang w:val="en-US"/>
        </w:rPr>
      </w:pPr>
      <w:r w:rsidRPr="00074C21">
        <w:rPr>
          <w:rStyle w:val="rynqvb"/>
          <w:rFonts w:ascii="Times New Roman" w:hAnsi="Times New Roman" w:cs="Times New Roman"/>
          <w:b/>
          <w:sz w:val="24"/>
          <w:szCs w:val="24"/>
          <w:lang w:val="en-US"/>
        </w:rPr>
        <w:t xml:space="preserve">Abstract/Description - </w:t>
      </w:r>
      <w:r w:rsidRPr="00074C21">
        <w:rPr>
          <w:rFonts w:ascii="Times New Roman" w:hAnsi="Times New Roman" w:cs="Times New Roman"/>
          <w:sz w:val="24"/>
          <w:szCs w:val="24"/>
          <w:lang w:val="en-US"/>
        </w:rPr>
        <w:t xml:space="preserve">Patent: </w:t>
      </w:r>
      <w:r w:rsidR="00C165F1" w:rsidRPr="00074C21">
        <w:rPr>
          <w:rFonts w:ascii="Times New Roman" w:hAnsi="Times New Roman" w:cs="Times New Roman"/>
          <w:sz w:val="24"/>
          <w:szCs w:val="24"/>
          <w:lang w:val="en-US"/>
        </w:rPr>
        <w:t xml:space="preserve"> </w:t>
      </w:r>
    </w:p>
    <w:p w:rsidR="007D5AA6" w:rsidRPr="00E536DE" w:rsidRDefault="00F40329" w:rsidP="00E40853">
      <w:pPr>
        <w:jc w:val="both"/>
        <w:rPr>
          <w:rFonts w:ascii="Times New Roman" w:hAnsi="Times New Roman" w:cs="Times New Roman"/>
          <w:sz w:val="24"/>
          <w:szCs w:val="24"/>
          <w:lang w:val="en-US"/>
        </w:rPr>
      </w:pPr>
      <w:hyperlink r:id="rId30"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w:t>
      </w:r>
      <w:r w:rsidR="00074C21" w:rsidRPr="00074C21">
        <w:rPr>
          <w:rFonts w:ascii="Times New Roman" w:hAnsi="Times New Roman" w:cs="Times New Roman"/>
          <w:b/>
          <w:sz w:val="24"/>
          <w:szCs w:val="24"/>
          <w:lang w:val="en-US"/>
        </w:rPr>
        <w:t>,    </w:t>
      </w:r>
      <w:hyperlink r:id="rId31"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p>
    <w:p w:rsidR="00074C21" w:rsidRPr="00E40853" w:rsidRDefault="00074C21" w:rsidP="00E40853">
      <w:pPr>
        <w:jc w:val="both"/>
        <w:rPr>
          <w:rStyle w:val="rynqvb"/>
          <w:rFonts w:ascii="Times New Roman" w:hAnsi="Times New Roman" w:cs="Times New Roman"/>
          <w:b/>
          <w:sz w:val="24"/>
          <w:szCs w:val="24"/>
          <w:lang w:val="en-US"/>
        </w:rPr>
      </w:pPr>
    </w:p>
    <w:p w:rsidR="00670B98" w:rsidRPr="00E40853" w:rsidRDefault="00C165F1" w:rsidP="00E40853">
      <w:pPr>
        <w:jc w:val="both"/>
        <w:rPr>
          <w:rStyle w:val="rynqvb"/>
          <w:rFonts w:ascii="Times New Roman" w:hAnsi="Times New Roman" w:cs="Times New Roman"/>
          <w:b/>
          <w:sz w:val="24"/>
          <w:szCs w:val="24"/>
          <w:lang w:val="en-US"/>
        </w:rPr>
      </w:pPr>
      <w:r w:rsidRPr="00E40853">
        <w:rPr>
          <w:rStyle w:val="rynqvb"/>
          <w:rFonts w:ascii="Times New Roman" w:hAnsi="Times New Roman" w:cs="Times New Roman"/>
          <w:b/>
          <w:sz w:val="24"/>
          <w:szCs w:val="24"/>
          <w:lang w:val="en-US"/>
        </w:rPr>
        <w:t xml:space="preserve">Full Intellectual Property </w:t>
      </w:r>
    </w:p>
    <w:p w:rsidR="00670B98" w:rsidRPr="00E40853" w:rsidRDefault="00F40329" w:rsidP="00E40853">
      <w:pPr>
        <w:jc w:val="both"/>
        <w:rPr>
          <w:rStyle w:val="rynqvb"/>
          <w:rFonts w:ascii="Times New Roman" w:hAnsi="Times New Roman" w:cs="Times New Roman"/>
          <w:b/>
          <w:sz w:val="24"/>
          <w:szCs w:val="24"/>
          <w:lang w:val="en-US"/>
        </w:rPr>
      </w:pPr>
      <w:hyperlink r:id="rId32" w:history="1">
        <w:r w:rsidR="00670B98" w:rsidRPr="00E40853">
          <w:rPr>
            <w:rStyle w:val="Collegamentoipertestuale"/>
            <w:rFonts w:ascii="Times New Roman" w:hAnsi="Times New Roman" w:cs="Times New Roman"/>
            <w:b/>
            <w:sz w:val="24"/>
            <w:szCs w:val="24"/>
            <w:lang w:val="en-US"/>
          </w:rPr>
          <w:t>http://www.expotv1.com/ESCP_Patent.htm</w:t>
        </w:r>
      </w:hyperlink>
    </w:p>
    <w:p w:rsidR="00670B98" w:rsidRPr="00E40853" w:rsidRDefault="00670B98" w:rsidP="00E40853">
      <w:pPr>
        <w:jc w:val="both"/>
        <w:rPr>
          <w:rStyle w:val="rynqvb"/>
          <w:rFonts w:ascii="Times New Roman" w:hAnsi="Times New Roman" w:cs="Times New Roman"/>
          <w:b/>
          <w:sz w:val="24"/>
          <w:szCs w:val="24"/>
          <w:lang w:val="en-US"/>
        </w:rPr>
      </w:pPr>
    </w:p>
    <w:p w:rsidR="00670B98" w:rsidRPr="00E40853" w:rsidRDefault="00FC06D5" w:rsidP="00E40853">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JWTeam Service </w:t>
      </w:r>
    </w:p>
    <w:p w:rsidR="00670B98" w:rsidRPr="00E40853" w:rsidRDefault="00F40329" w:rsidP="00E40853">
      <w:pPr>
        <w:jc w:val="both"/>
        <w:rPr>
          <w:rStyle w:val="rynqvb"/>
          <w:rFonts w:ascii="Times New Roman" w:hAnsi="Times New Roman" w:cs="Times New Roman"/>
          <w:b/>
          <w:sz w:val="24"/>
          <w:szCs w:val="24"/>
          <w:lang w:val="en-US"/>
        </w:rPr>
      </w:pPr>
      <w:hyperlink r:id="rId33" w:history="1">
        <w:r w:rsidR="00670B98" w:rsidRPr="00E40853">
          <w:rPr>
            <w:rStyle w:val="Collegamentoipertestuale"/>
            <w:rFonts w:ascii="Times New Roman" w:hAnsi="Times New Roman" w:cs="Times New Roman"/>
            <w:b/>
            <w:sz w:val="24"/>
            <w:szCs w:val="24"/>
            <w:lang w:val="en-US"/>
          </w:rPr>
          <w:t>http://www.expotv1.com/PUB/JWT_Service_EN.pdf</w:t>
        </w:r>
      </w:hyperlink>
    </w:p>
    <w:p w:rsidR="005544BF" w:rsidRPr="00E40853" w:rsidRDefault="005544BF" w:rsidP="00E40853">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5544BF" w:rsidRPr="00E536DE" w:rsidRDefault="005544BF" w:rsidP="007E7997">
      <w:pPr>
        <w:pStyle w:val="Titolo1"/>
        <w:rPr>
          <w:lang w:val="en-US"/>
        </w:rPr>
      </w:pPr>
      <w:bookmarkStart w:id="10" w:name="_Toc150285339"/>
      <w:r w:rsidRPr="00E536DE">
        <w:rPr>
          <w:lang w:val="en-US"/>
        </w:rPr>
        <w:lastRenderedPageBreak/>
        <w:t>Summary – Applications (to SDGs)</w:t>
      </w:r>
      <w:bookmarkEnd w:id="10"/>
    </w:p>
    <w:p w:rsidR="007D5AA6" w:rsidRPr="00074C21" w:rsidRDefault="007D5AA6" w:rsidP="00074C21">
      <w:pPr>
        <w:pStyle w:val="NormaleWeb"/>
        <w:jc w:val="both"/>
        <w:rPr>
          <w:lang w:val="en-US"/>
        </w:rPr>
      </w:pPr>
    </w:p>
    <w:p w:rsidR="00074C21" w:rsidRDefault="00F40329" w:rsidP="00074C21">
      <w:pPr>
        <w:pStyle w:val="NormaleWeb"/>
        <w:jc w:val="right"/>
        <w:rPr>
          <w:rStyle w:val="Enfasigrassetto"/>
          <w:color w:val="0000FF"/>
          <w:lang w:val="en-US"/>
        </w:rPr>
      </w:pPr>
      <w:hyperlink r:id="rId34" w:history="1">
        <w:r w:rsidR="00074C21" w:rsidRPr="00074C21">
          <w:rPr>
            <w:rStyle w:val="Enfasigrassetto"/>
            <w:color w:val="0000FF"/>
            <w:u w:val="single"/>
            <w:lang w:val="en-US"/>
          </w:rPr>
          <w:t>MBGC</w:t>
        </w:r>
      </w:hyperlink>
      <w:r w:rsidR="00074C21" w:rsidRPr="00074C21">
        <w:rPr>
          <w:rStyle w:val="Enfasigrassetto"/>
          <w:color w:val="0000FF"/>
          <w:lang w:val="en-US"/>
        </w:rPr>
        <w:t xml:space="preserve"> </w:t>
      </w:r>
    </w:p>
    <w:p w:rsidR="00074C21" w:rsidRPr="00074C21" w:rsidRDefault="00F40329" w:rsidP="00074C21">
      <w:pPr>
        <w:pStyle w:val="NormaleWeb"/>
        <w:jc w:val="right"/>
        <w:rPr>
          <w:color w:val="0000FF"/>
          <w:lang w:val="en-US"/>
        </w:rPr>
      </w:pPr>
      <w:hyperlink r:id="rId35" w:history="1">
        <w:r w:rsidR="00074C21" w:rsidRPr="00074C21">
          <w:rPr>
            <w:rStyle w:val="Enfasigrassetto"/>
            <w:color w:val="0000FF"/>
            <w:u w:val="single"/>
            <w:lang w:val="en-US"/>
          </w:rPr>
          <w:t>https://patentscope.wipo.int/search/en/detail.jsf?docId=WO2016092582</w:t>
        </w:r>
      </w:hyperlink>
    </w:p>
    <w:p w:rsidR="00074C21" w:rsidRPr="00074C21" w:rsidRDefault="00074C21" w:rsidP="00074C21">
      <w:pPr>
        <w:pStyle w:val="NormaleWeb"/>
        <w:jc w:val="both"/>
        <w:rPr>
          <w:color w:val="0000FF"/>
          <w:lang w:val="en-US"/>
        </w:rPr>
      </w:pPr>
      <w:r w:rsidRPr="00074C21">
        <w:rPr>
          <w:rStyle w:val="Enfasigrassetto"/>
          <w:color w:val="008000"/>
          <w:lang w:val="en-US"/>
        </w:rPr>
        <w:t xml:space="preserve">Biogas - </w:t>
      </w:r>
      <w:r w:rsidRPr="00074C21">
        <w:rPr>
          <w:rStyle w:val="Enfasigrassetto"/>
          <w:color w:val="0000FF"/>
          <w:lang w:val="en-US"/>
        </w:rPr>
        <w:t xml:space="preserve">generate high purity raw materials from organic matrices. </w:t>
      </w:r>
      <w:r w:rsidRPr="00074C21">
        <w:rPr>
          <w:rStyle w:val="Enfasigrassetto"/>
          <w:color w:val="008000"/>
          <w:lang w:val="en-US"/>
        </w:rPr>
        <w:t xml:space="preserve">MBGC </w:t>
      </w:r>
      <w:r w:rsidRPr="00074C21">
        <w:rPr>
          <w:color w:val="000000"/>
          <w:lang w:val="en-US"/>
        </w:rPr>
        <w:t>is dedicated to the disposal and reconversion of organic waste , both from excrement (human and animal) and from manufacturing processes (agri-food industry), as well as in many agro-zootechnical activities. Very compact system that uses only renewable energy, with high energy recovery indices and production of high quality by-products (CH4, CO2, NPKx , H2O). Excellent solution for urban areas for contrast to the disposal of wastewater and containment of interventions on its infrastructures ( sewerage transport networks and purifiers ), acting in a distributive /pervasive manner where the problem arises. It offers significant contrast to the load</w:t>
      </w:r>
      <w:r w:rsidRPr="00074C21">
        <w:rPr>
          <w:rFonts w:eastAsia="MS Mincho"/>
          <w:color w:val="000000"/>
        </w:rPr>
        <w:t xml:space="preserve">　</w:t>
      </w:r>
      <w:r w:rsidRPr="00074C21">
        <w:rPr>
          <w:color w:val="000000"/>
          <w:lang w:val="en-US"/>
        </w:rPr>
        <w:t>Organic</w:t>
      </w:r>
      <w:r w:rsidRPr="00074C21">
        <w:rPr>
          <w:rFonts w:eastAsia="MS Mincho"/>
          <w:color w:val="000000"/>
        </w:rPr>
        <w:t xml:space="preserve">　</w:t>
      </w:r>
      <w:r w:rsidRPr="00074C21">
        <w:rPr>
          <w:color w:val="000000"/>
          <w:lang w:val="en-US"/>
        </w:rPr>
        <w:t>contributing to the performance on</w:t>
      </w:r>
      <w:r w:rsidRPr="00074C21">
        <w:rPr>
          <w:rFonts w:eastAsia="MS Mincho"/>
          <w:color w:val="000000"/>
        </w:rPr>
        <w:t xml:space="preserve">　</w:t>
      </w:r>
      <w:r w:rsidRPr="00074C21">
        <w:rPr>
          <w:color w:val="000000"/>
          <w:lang w:val="en-US"/>
        </w:rPr>
        <w:t xml:space="preserve">" </w:t>
      </w:r>
      <w:r w:rsidRPr="00074C21">
        <w:rPr>
          <w:rStyle w:val="Enfasigrassetto"/>
          <w:color w:val="000000"/>
          <w:lang w:val="en-US"/>
        </w:rPr>
        <w:t xml:space="preserve">Water cycle </w:t>
      </w:r>
      <w:r w:rsidRPr="00074C21">
        <w:rPr>
          <w:color w:val="000000"/>
          <w:lang w:val="en-US"/>
        </w:rPr>
        <w:t>".</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Project: </w:t>
      </w:r>
      <w:r w:rsidRPr="00074C21">
        <w:rPr>
          <w:rFonts w:ascii="Times New Roman" w:hAnsi="Times New Roman" w:cs="Times New Roman"/>
          <w:sz w:val="24"/>
          <w:szCs w:val="24"/>
          <w:lang w:val="en-US"/>
        </w:rPr>
        <w:t xml:space="preserve">MBGC </w:t>
      </w:r>
      <w:r>
        <w:rPr>
          <w:rFonts w:ascii="Times New Roman" w:hAnsi="Times New Roman" w:cs="Times New Roman"/>
          <w:sz w:val="24"/>
          <w:szCs w:val="24"/>
          <w:lang w:val="en-US"/>
        </w:rPr>
        <w:t>–</w:t>
      </w:r>
      <w:r w:rsidRPr="00074C21">
        <w:rPr>
          <w:rFonts w:ascii="Times New Roman" w:hAnsi="Times New Roman" w:cs="Times New Roman"/>
          <w:sz w:val="24"/>
          <w:szCs w:val="24"/>
          <w:lang w:val="en-US"/>
        </w:rPr>
        <w:t xml:space="preserve"> Mini</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Bio</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Gas</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Continuous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Objective : </w:t>
      </w:r>
      <w:r w:rsidRPr="00074C21">
        <w:rPr>
          <w:rFonts w:ascii="Times New Roman" w:hAnsi="Times New Roman" w:cs="Times New Roman"/>
          <w:sz w:val="24"/>
          <w:szCs w:val="24"/>
          <w:lang w:val="en-US"/>
        </w:rPr>
        <w:t>Launch a pre- assembly and testing site (procedures and manuals) for the production of MBGC tanks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lastRenderedPageBreak/>
        <w:t xml:space="preserve">Target: </w:t>
      </w:r>
      <w:r w:rsidRPr="00074C21">
        <w:rPr>
          <w:rFonts w:ascii="Times New Roman" w:hAnsi="Times New Roman" w:cs="Times New Roman"/>
          <w:sz w:val="24"/>
          <w:szCs w:val="24"/>
          <w:lang w:val="en-US"/>
        </w:rPr>
        <w:t>Prefabricated (CLS) companies, hydromechanics , financial investors, operators in the BioGas / BioMethane sector</w:t>
      </w:r>
    </w:p>
    <w:p w:rsidR="00074C21" w:rsidRPr="00074C21" w:rsidRDefault="00074C21" w:rsidP="00074C21">
      <w:pPr>
        <w:adjustRightInd w:val="0"/>
        <w:jc w:val="both"/>
        <w:rPr>
          <w:rFonts w:ascii="Times New Roman" w:hAnsi="Times New Roman" w:cs="Times New Roman"/>
          <w:sz w:val="24"/>
          <w:szCs w:val="24"/>
          <w:lang w:val="en-US"/>
        </w:rPr>
      </w:pP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to  optimize linear anaerobic digestion, with selective and corrective extraction. In collaboration with internal and external laboratories, it will act as remote support for the installations in charge (EPC - Engineering , Procurement and Construction ).</w:t>
      </w:r>
    </w:p>
    <w:p w:rsidR="00074C21" w:rsidRPr="00074C21" w:rsidRDefault="00074C21" w:rsidP="00074C21">
      <w:pPr>
        <w:adjustRightInd w:val="0"/>
        <w:jc w:val="both"/>
        <w:rPr>
          <w:rFonts w:ascii="Times New Roman" w:hAnsi="Times New Roman" w:cs="Times New Roman"/>
          <w:color w:val="000000"/>
          <w:sz w:val="24"/>
          <w:szCs w:val="24"/>
          <w:lang w:val="en-US"/>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b/>
          <w:sz w:val="24"/>
          <w:szCs w:val="24"/>
          <w:lang w:val="en-US" w:eastAsia="it-IT"/>
        </w:rPr>
        <w:t xml:space="preserve">Summary: </w:t>
      </w:r>
      <w:r w:rsidRPr="00074C21">
        <w:rPr>
          <w:rFonts w:ascii="Times New Roman" w:hAnsi="Times New Roman" w:cs="Times New Roman"/>
          <w:sz w:val="24"/>
          <w:szCs w:val="24"/>
          <w:lang w:val="en-US"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can be used as a renewable energy source. The fertilizer is composed of nitrogen, phosphorus and </w:t>
      </w:r>
      <w:r w:rsidRPr="00074C21">
        <w:rPr>
          <w:rFonts w:ascii="Times New Roman" w:hAnsi="Times New Roman" w:cs="Times New Roman"/>
          <w:sz w:val="24"/>
          <w:szCs w:val="24"/>
          <w:lang w:val="en-US" w:eastAsia="it-IT"/>
        </w:rPr>
        <w:lastRenderedPageBreak/>
        <w:t>potassium salts ( NPKx salts ) which can be used to enrich the soil or supplement supplies from specific industries. Water is the liquid fraction that can be reused or discharged after treatment.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1) Hydrolysis: organic matter is divided into smaller molecules by means of water and enzymes;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2) Acidogenesis : the hydrolyzed products are transformed into volatile fatty acids and other compounds by acidogenic bacteria .;</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3) Acetogenesis : volatile fatty acids and other compounds are further transformed into acetic acid, hydrogen and carbon dioxide by acetogenic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4) Methanogenesis : acetic acid, hydrogen and carbon dioxide are transformed into methane and carbon dioxide by methane 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lastRenderedPageBreak/>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074C21">
        <w:rPr>
          <w:rFonts w:ascii="Times New Roman" w:hAnsi="Times New Roman" w:cs="Times New Roman"/>
          <w:sz w:val="24"/>
          <w:szCs w:val="24"/>
          <w:lang w:val="en-US" w:eastAsia="it-IT"/>
        </w:rPr>
        <w:br/>
        <w:t>a) Oleic phase: the lighter fraction which mainly contains fats and oils , is drained and brought back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b) Protein phase: the heavier fraction which mainly contains proteins and amino acids, not yet treated, is taken and brought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c) NPK salts: the solid fraction that precipitates at different levels according to their solubility and specific weight;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d) Clarified water: the clear fraction that remains after the separation of the other components is expelled by gravity and thermally pre-treated in the last part of the tank at half level;</w:t>
      </w:r>
    </w:p>
    <w:p w:rsidR="00074C21" w:rsidRPr="00074C21" w:rsidRDefault="00074C21" w:rsidP="00074C21">
      <w:pPr>
        <w:jc w:val="both"/>
        <w:rPr>
          <w:rFonts w:ascii="Times New Roman" w:hAnsi="Times New Roman" w:cs="Times New Roman"/>
          <w:sz w:val="24"/>
          <w:szCs w:val="24"/>
          <w:lang w:val="en-US" w:eastAsia="it-IT"/>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 xml:space="preserve">The gases produced during the process (methane and carbon dioxide) rise towards the top of the tank, where </w:t>
      </w:r>
      <w:r w:rsidRPr="00074C21">
        <w:rPr>
          <w:rFonts w:ascii="Times New Roman" w:hAnsi="Times New Roman" w:cs="Times New Roman"/>
          <w:sz w:val="24"/>
          <w:szCs w:val="24"/>
          <w:lang w:val="en-US" w:eastAsia="it-IT"/>
        </w:rPr>
        <w:lastRenderedPageBreak/>
        <w:t>they separate by density and start non-specific functions. Carbon dioxide, being heavier, remains in the lower part of the space above the liquid surface, while methane, being lighter, moves towards the upper part of the space. Gases 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phase .</w:t>
      </w:r>
    </w:p>
    <w:p w:rsidR="005544BF" w:rsidRPr="00074C21" w:rsidRDefault="005544BF" w:rsidP="00074C21">
      <w:pPr>
        <w:jc w:val="both"/>
        <w:rPr>
          <w:rFonts w:ascii="Times New Roman" w:hAnsi="Times New Roman" w:cs="Times New Roman"/>
          <w:sz w:val="24"/>
          <w:szCs w:val="24"/>
          <w:lang w:val="en-US" w:eastAsia="it-IT"/>
        </w:rPr>
      </w:pPr>
    </w:p>
    <w:p w:rsidR="00F91FCD" w:rsidRPr="00074C21" w:rsidRDefault="00F40329" w:rsidP="00074C21">
      <w:pPr>
        <w:pStyle w:val="Corpodeltesto"/>
        <w:tabs>
          <w:tab w:val="left" w:pos="3153"/>
        </w:tabs>
        <w:spacing w:before="2"/>
        <w:jc w:val="right"/>
        <w:rPr>
          <w:b/>
          <w:i/>
          <w:sz w:val="24"/>
          <w:lang w:val="en-US" w:eastAsia="it-IT"/>
        </w:rPr>
      </w:pPr>
      <w:hyperlink r:id="rId36" w:history="1">
        <w:r w:rsidR="005544BF" w:rsidRPr="00074C21">
          <w:rPr>
            <w:rStyle w:val="Collegamentoipertestuale"/>
            <w:b/>
            <w:i/>
            <w:sz w:val="24"/>
            <w:lang w:val="en-US"/>
          </w:rPr>
          <w:t xml:space="preserve">SDGs </w:t>
        </w:r>
      </w:hyperlink>
      <w:hyperlink r:id="rId37" w:history="1">
        <w:r w:rsidR="005544BF" w:rsidRPr="00074C21">
          <w:rPr>
            <w:rStyle w:val="Collegamentoipertestuale"/>
            <w:b/>
            <w:i/>
            <w:sz w:val="24"/>
            <w:lang w:val="en-US"/>
          </w:rPr>
          <w:t xml:space="preserve">/ </w:t>
        </w:r>
      </w:hyperlink>
      <w:hyperlink r:id="rId38" w:history="1"/>
      <w:hyperlink r:id="rId39" w:history="1">
        <w:r w:rsidR="005544BF" w:rsidRPr="00074C21">
          <w:rPr>
            <w:rStyle w:val="Collegamentoipertestuale"/>
            <w:b/>
            <w:i/>
            <w:sz w:val="24"/>
            <w:lang w:val="en-US"/>
          </w:rPr>
          <w:t xml:space="preserve">UN_en </w:t>
        </w:r>
      </w:hyperlink>
      <w:hyperlink r:id="rId40" w:history="1"/>
      <w:r w:rsidR="005544BF" w:rsidRPr="00074C21">
        <w:rPr>
          <w:b/>
          <w:i/>
          <w:sz w:val="24"/>
          <w:lang w:val="en-US"/>
        </w:rPr>
        <w:t xml:space="preserve">- </w:t>
      </w:r>
      <w:hyperlink r:id="rId41" w:history="1">
        <w:r w:rsidR="005544BF" w:rsidRPr="00074C21">
          <w:rPr>
            <w:rStyle w:val="Collegamentoipertestuale"/>
            <w:b/>
            <w:i/>
            <w:sz w:val="24"/>
            <w:lang w:val="en-US"/>
          </w:rPr>
          <w:t xml:space="preserve">SDGs </w:t>
        </w:r>
      </w:hyperlink>
      <w:hyperlink r:id="rId42" w:history="1">
        <w:r w:rsidR="005544BF" w:rsidRPr="00074C21">
          <w:rPr>
            <w:rStyle w:val="Collegamentoipertestuale"/>
            <w:b/>
            <w:i/>
            <w:sz w:val="24"/>
            <w:lang w:val="en-US"/>
          </w:rPr>
          <w:t xml:space="preserve">/ </w:t>
        </w:r>
      </w:hyperlink>
      <w:hyperlink r:id="rId43" w:history="1"/>
      <w:hyperlink r:id="rId44" w:history="1">
        <w:r w:rsidR="005544BF" w:rsidRPr="00074C21">
          <w:rPr>
            <w:rStyle w:val="Collegamentoipertestuale"/>
            <w:b/>
            <w:i/>
            <w:sz w:val="24"/>
            <w:lang w:val="en-US"/>
          </w:rPr>
          <w:t>UN_it</w:t>
        </w:r>
      </w:hyperlink>
      <w:hyperlink r:id="rId45" w:history="1"/>
      <w:r w:rsidR="005544BF" w:rsidRPr="00074C21">
        <w:rPr>
          <w:b/>
          <w:i/>
          <w:sz w:val="24"/>
          <w:lang w:val="en-US"/>
        </w:rPr>
        <w:t xml:space="preserve"> </w:t>
      </w:r>
      <w:r w:rsidR="00F91FCD" w:rsidRPr="00074C21">
        <w:rPr>
          <w:b/>
          <w:i/>
          <w:sz w:val="24"/>
          <w:lang w:val="en-US"/>
        </w:rPr>
        <w:t xml:space="preserve"> </w:t>
      </w:r>
      <w:r w:rsidR="005544BF" w:rsidRPr="00074C21">
        <w:rPr>
          <w:b/>
          <w:i/>
          <w:sz w:val="24"/>
          <w:lang w:val="en-US" w:eastAsia="it-IT"/>
        </w:rPr>
        <w:t>Full Strategy to</w:t>
      </w:r>
    </w:p>
    <w:p w:rsidR="00F91FCD" w:rsidRPr="00074C21" w:rsidRDefault="005544BF" w:rsidP="00074C21">
      <w:pPr>
        <w:pStyle w:val="Corpodeltesto"/>
        <w:tabs>
          <w:tab w:val="left" w:pos="3153"/>
        </w:tabs>
        <w:spacing w:before="2"/>
        <w:jc w:val="right"/>
        <w:rPr>
          <w:b/>
          <w:i/>
          <w:sz w:val="24"/>
        </w:rPr>
      </w:pPr>
      <w:r w:rsidRPr="00074C21">
        <w:rPr>
          <w:b/>
          <w:i/>
          <w:sz w:val="24"/>
          <w:lang w:val="en-US" w:eastAsia="it-IT"/>
        </w:rPr>
        <w:t xml:space="preserve"> </w:t>
      </w:r>
      <w:hyperlink r:id="rId46" w:history="1">
        <w:r w:rsidRPr="00074C21">
          <w:rPr>
            <w:rStyle w:val="Collegamentoipertestuale"/>
            <w:b/>
            <w:i/>
            <w:color w:val="00B050"/>
            <w:sz w:val="24"/>
          </w:rPr>
          <w:t>1</w:t>
        </w:r>
      </w:hyperlink>
      <w:r w:rsidRPr="00074C21">
        <w:rPr>
          <w:rStyle w:val="badge"/>
          <w:b/>
          <w:i/>
          <w:color w:val="00B050"/>
          <w:sz w:val="24"/>
        </w:rPr>
        <w:t xml:space="preserve"> </w:t>
      </w:r>
      <w:hyperlink r:id="rId47" w:history="1">
        <w:r w:rsidRPr="00074C21">
          <w:rPr>
            <w:rStyle w:val="Collegamentoipertestuale"/>
            <w:b/>
            <w:i/>
            <w:color w:val="00B050"/>
            <w:sz w:val="24"/>
          </w:rPr>
          <w:t>2</w:t>
        </w:r>
      </w:hyperlink>
      <w:r w:rsidRPr="00074C21">
        <w:rPr>
          <w:rStyle w:val="badge"/>
          <w:b/>
          <w:i/>
          <w:color w:val="00B050"/>
          <w:sz w:val="24"/>
        </w:rPr>
        <w:t xml:space="preserve"> </w:t>
      </w:r>
      <w:hyperlink r:id="rId48" w:history="1">
        <w:r w:rsidRPr="00074C21">
          <w:rPr>
            <w:rStyle w:val="Collegamentoipertestuale"/>
            <w:b/>
            <w:i/>
            <w:color w:val="00B050"/>
            <w:sz w:val="24"/>
          </w:rPr>
          <w:t>3</w:t>
        </w:r>
      </w:hyperlink>
      <w:r w:rsidRPr="00074C21">
        <w:rPr>
          <w:rStyle w:val="badge"/>
          <w:b/>
          <w:i/>
          <w:color w:val="00B050"/>
          <w:sz w:val="24"/>
        </w:rPr>
        <w:t xml:space="preserve"> </w:t>
      </w:r>
      <w:hyperlink r:id="rId49" w:history="1">
        <w:r w:rsidRPr="00074C21">
          <w:rPr>
            <w:rStyle w:val="Collegamentoipertestuale"/>
            <w:b/>
            <w:i/>
            <w:color w:val="00B050"/>
            <w:sz w:val="24"/>
          </w:rPr>
          <w:t>4</w:t>
        </w:r>
      </w:hyperlink>
      <w:r w:rsidRPr="00074C21">
        <w:rPr>
          <w:rStyle w:val="badge"/>
          <w:b/>
          <w:i/>
          <w:color w:val="00B050"/>
          <w:sz w:val="24"/>
        </w:rPr>
        <w:t xml:space="preserve"> </w:t>
      </w:r>
      <w:hyperlink r:id="rId50" w:history="1">
        <w:r w:rsidRPr="00074C21">
          <w:rPr>
            <w:rStyle w:val="Collegamentoipertestuale"/>
            <w:b/>
            <w:i/>
            <w:color w:val="00B050"/>
            <w:sz w:val="24"/>
          </w:rPr>
          <w:t>5</w:t>
        </w:r>
      </w:hyperlink>
      <w:r w:rsidRPr="00074C21">
        <w:rPr>
          <w:rStyle w:val="badge"/>
          <w:b/>
          <w:i/>
          <w:color w:val="00B050"/>
          <w:sz w:val="24"/>
        </w:rPr>
        <w:t xml:space="preserve"> </w:t>
      </w:r>
      <w:hyperlink r:id="rId51" w:history="1">
        <w:r w:rsidRPr="00074C21">
          <w:rPr>
            <w:rStyle w:val="Collegamentoipertestuale"/>
            <w:b/>
            <w:i/>
            <w:color w:val="00B050"/>
            <w:sz w:val="24"/>
          </w:rPr>
          <w:t>6</w:t>
        </w:r>
      </w:hyperlink>
      <w:r w:rsidRPr="00074C21">
        <w:rPr>
          <w:rStyle w:val="badge"/>
          <w:b/>
          <w:i/>
          <w:color w:val="00B050"/>
          <w:sz w:val="24"/>
        </w:rPr>
        <w:t xml:space="preserve"> </w:t>
      </w:r>
      <w:hyperlink r:id="rId52" w:history="1">
        <w:r w:rsidRPr="00074C21">
          <w:rPr>
            <w:rStyle w:val="Collegamentoipertestuale"/>
            <w:b/>
            <w:i/>
            <w:color w:val="00B050"/>
            <w:sz w:val="24"/>
          </w:rPr>
          <w:t>7</w:t>
        </w:r>
      </w:hyperlink>
      <w:r w:rsidRPr="00074C21">
        <w:rPr>
          <w:rStyle w:val="badge"/>
          <w:b/>
          <w:i/>
          <w:color w:val="00B050"/>
          <w:sz w:val="24"/>
        </w:rPr>
        <w:t xml:space="preserve"> </w:t>
      </w:r>
      <w:hyperlink r:id="rId53" w:history="1">
        <w:r w:rsidRPr="00074C21">
          <w:rPr>
            <w:rStyle w:val="Collegamentoipertestuale"/>
            <w:b/>
            <w:i/>
            <w:color w:val="0070C0"/>
            <w:sz w:val="24"/>
          </w:rPr>
          <w:t>8</w:t>
        </w:r>
      </w:hyperlink>
      <w:r w:rsidRPr="00074C21">
        <w:rPr>
          <w:rStyle w:val="badge"/>
          <w:b/>
          <w:i/>
          <w:color w:val="00B050"/>
          <w:sz w:val="24"/>
        </w:rPr>
        <w:t xml:space="preserve"> </w:t>
      </w:r>
      <w:hyperlink r:id="rId54" w:history="1">
        <w:r w:rsidRPr="00074C21">
          <w:rPr>
            <w:rStyle w:val="Collegamentoipertestuale"/>
            <w:b/>
            <w:i/>
            <w:color w:val="00B050"/>
            <w:sz w:val="24"/>
          </w:rPr>
          <w:t>9</w:t>
        </w:r>
      </w:hyperlink>
      <w:r w:rsidRPr="00074C21">
        <w:rPr>
          <w:rStyle w:val="badge"/>
          <w:b/>
          <w:i/>
          <w:color w:val="00B050"/>
          <w:sz w:val="24"/>
        </w:rPr>
        <w:t xml:space="preserve"> </w:t>
      </w:r>
      <w:hyperlink r:id="rId55" w:history="1">
        <w:r w:rsidRPr="00074C21">
          <w:rPr>
            <w:rStyle w:val="Collegamentoipertestuale"/>
            <w:b/>
            <w:i/>
            <w:color w:val="0070C0"/>
            <w:sz w:val="24"/>
          </w:rPr>
          <w:t>10</w:t>
        </w:r>
      </w:hyperlink>
      <w:r w:rsidRPr="00074C21">
        <w:rPr>
          <w:rStyle w:val="badge"/>
          <w:b/>
          <w:i/>
          <w:color w:val="00B050"/>
          <w:sz w:val="24"/>
        </w:rPr>
        <w:t xml:space="preserve"> </w:t>
      </w:r>
      <w:hyperlink r:id="rId56" w:history="1">
        <w:r w:rsidRPr="00074C21">
          <w:rPr>
            <w:rStyle w:val="Collegamentoipertestuale"/>
            <w:b/>
            <w:i/>
            <w:color w:val="00B050"/>
            <w:sz w:val="24"/>
          </w:rPr>
          <w:t>11</w:t>
        </w:r>
      </w:hyperlink>
      <w:r w:rsidRPr="00074C21">
        <w:rPr>
          <w:rStyle w:val="badge"/>
          <w:b/>
          <w:i/>
          <w:color w:val="00B050"/>
          <w:sz w:val="24"/>
        </w:rPr>
        <w:t xml:space="preserve"> </w:t>
      </w:r>
      <w:hyperlink r:id="rId57" w:history="1">
        <w:r w:rsidRPr="00074C21">
          <w:rPr>
            <w:rStyle w:val="Collegamentoipertestuale"/>
            <w:b/>
            <w:i/>
            <w:color w:val="00B050"/>
            <w:sz w:val="24"/>
          </w:rPr>
          <w:t>12</w:t>
        </w:r>
      </w:hyperlink>
      <w:r w:rsidRPr="00074C21">
        <w:rPr>
          <w:rStyle w:val="badge"/>
          <w:b/>
          <w:i/>
          <w:color w:val="00B050"/>
          <w:sz w:val="24"/>
        </w:rPr>
        <w:t xml:space="preserve"> </w:t>
      </w:r>
      <w:hyperlink r:id="rId58" w:history="1">
        <w:r w:rsidRPr="00074C21">
          <w:rPr>
            <w:rStyle w:val="Collegamentoipertestuale"/>
            <w:b/>
            <w:i/>
            <w:color w:val="00B050"/>
            <w:sz w:val="24"/>
          </w:rPr>
          <w:t>13</w:t>
        </w:r>
      </w:hyperlink>
      <w:r w:rsidRPr="00074C21">
        <w:rPr>
          <w:rStyle w:val="badge"/>
          <w:b/>
          <w:i/>
          <w:color w:val="00B050"/>
          <w:sz w:val="24"/>
        </w:rPr>
        <w:t xml:space="preserve"> </w:t>
      </w:r>
      <w:hyperlink r:id="rId59" w:history="1">
        <w:r w:rsidRPr="00074C21">
          <w:rPr>
            <w:rStyle w:val="Collegamentoipertestuale"/>
            <w:b/>
            <w:i/>
            <w:color w:val="00B050"/>
            <w:sz w:val="24"/>
          </w:rPr>
          <w:t>14</w:t>
        </w:r>
      </w:hyperlink>
      <w:r w:rsidRPr="00074C21">
        <w:rPr>
          <w:rStyle w:val="badge"/>
          <w:b/>
          <w:i/>
          <w:color w:val="00B050"/>
          <w:sz w:val="24"/>
        </w:rPr>
        <w:t xml:space="preserve"> </w:t>
      </w:r>
      <w:hyperlink r:id="rId60" w:history="1">
        <w:r w:rsidRPr="00074C21">
          <w:rPr>
            <w:rStyle w:val="Collegamentoipertestuale"/>
            <w:b/>
            <w:i/>
            <w:color w:val="00B050"/>
            <w:sz w:val="24"/>
          </w:rPr>
          <w:t>15</w:t>
        </w:r>
      </w:hyperlink>
      <w:r w:rsidRPr="00074C21">
        <w:rPr>
          <w:rStyle w:val="badge"/>
          <w:b/>
          <w:i/>
          <w:color w:val="00B050"/>
          <w:sz w:val="24"/>
        </w:rPr>
        <w:t xml:space="preserve"> </w:t>
      </w:r>
      <w:hyperlink r:id="rId61" w:history="1">
        <w:r w:rsidRPr="00074C21">
          <w:rPr>
            <w:rStyle w:val="Collegamentoipertestuale"/>
            <w:b/>
            <w:i/>
            <w:color w:val="0070C0"/>
            <w:sz w:val="24"/>
          </w:rPr>
          <w:t>16</w:t>
        </w:r>
      </w:hyperlink>
      <w:r w:rsidRPr="00074C21">
        <w:rPr>
          <w:rStyle w:val="badge"/>
          <w:b/>
          <w:i/>
          <w:color w:val="0070C0"/>
          <w:sz w:val="24"/>
        </w:rPr>
        <w:t xml:space="preserve"> </w:t>
      </w:r>
      <w:hyperlink r:id="rId62" w:history="1">
        <w:r w:rsidRPr="00074C21">
          <w:rPr>
            <w:rStyle w:val="Collegamentoipertestuale"/>
            <w:b/>
            <w:i/>
            <w:color w:val="0070C0"/>
            <w:sz w:val="24"/>
          </w:rPr>
          <w:t>17</w:t>
        </w:r>
      </w:hyperlink>
      <w:r w:rsidRPr="00074C21">
        <w:rPr>
          <w:rStyle w:val="badge"/>
          <w:b/>
          <w:sz w:val="24"/>
        </w:rPr>
        <w:t xml:space="preserve">   </w:t>
      </w:r>
      <w:hyperlink r:id="rId63" w:history="1">
        <w:r w:rsidRPr="00074C21">
          <w:rPr>
            <w:rStyle w:val="Enfasicorsivo"/>
            <w:b/>
            <w:bCs/>
            <w:color w:val="008000"/>
            <w:sz w:val="24"/>
            <w:u w:val="single"/>
          </w:rPr>
          <w:t>SDGs/UN</w:t>
        </w:r>
      </w:hyperlink>
      <w:r w:rsidRPr="00074C21">
        <w:rPr>
          <w:rStyle w:val="badge"/>
          <w:b/>
          <w:sz w:val="24"/>
        </w:rPr>
        <w:t xml:space="preserve"> </w:t>
      </w:r>
    </w:p>
    <w:p w:rsidR="005544BF" w:rsidRPr="00074C21" w:rsidRDefault="00F40329" w:rsidP="00074C21">
      <w:pPr>
        <w:tabs>
          <w:tab w:val="left" w:pos="1902"/>
        </w:tabs>
        <w:jc w:val="right"/>
        <w:rPr>
          <w:rFonts w:ascii="Times New Roman" w:hAnsi="Times New Roman" w:cs="Times New Roman"/>
          <w:b/>
          <w:sz w:val="24"/>
          <w:szCs w:val="24"/>
        </w:rPr>
      </w:pPr>
      <w:hyperlink r:id="rId64" w:history="1">
        <w:r w:rsidR="005544BF" w:rsidRPr="00074C21">
          <w:rPr>
            <w:rStyle w:val="Collegamentoipertestuale"/>
            <w:rFonts w:ascii="Times New Roman" w:hAnsi="Times New Roman" w:cs="Times New Roman"/>
            <w:b/>
            <w:i/>
            <w:sz w:val="24"/>
            <w:szCs w:val="24"/>
            <w:lang w:eastAsia="it-IT"/>
          </w:rPr>
          <w:t>http://www.expotv1.com/ESCP_Hello.htm</w:t>
        </w:r>
      </w:hyperlink>
    </w:p>
    <w:p w:rsidR="00F0731B" w:rsidRPr="00E40853" w:rsidRDefault="00173CE6" w:rsidP="00E40853">
      <w:pPr>
        <w:rPr>
          <w:rFonts w:ascii="Times New Roman" w:hAnsi="Times New Roman" w:cs="Times New Roman"/>
          <w:sz w:val="24"/>
          <w:szCs w:val="24"/>
        </w:rPr>
      </w:pPr>
      <w:r w:rsidRPr="00E40853">
        <w:rPr>
          <w:rFonts w:ascii="Times New Roman" w:hAnsi="Times New Roman" w:cs="Times New Roman"/>
          <w:sz w:val="24"/>
          <w:szCs w:val="24"/>
        </w:rPr>
        <w:br w:type="page"/>
      </w:r>
    </w:p>
    <w:p w:rsidR="00F0731B" w:rsidRPr="00E40853" w:rsidRDefault="00F0731B" w:rsidP="00E40853">
      <w:pPr>
        <w:rPr>
          <w:rFonts w:ascii="Times New Roman" w:hAnsi="Times New Roman" w:cs="Times New Roman"/>
          <w:sz w:val="24"/>
          <w:szCs w:val="24"/>
        </w:rPr>
      </w:pPr>
    </w:p>
    <w:p w:rsidR="00F0731B" w:rsidRPr="00E40853" w:rsidRDefault="00074C21" w:rsidP="00E40853">
      <w:pPr>
        <w:jc w:val="center"/>
        <w:rPr>
          <w:rFonts w:ascii="Times New Roman" w:hAnsi="Times New Roman" w:cs="Times New Roman"/>
          <w:sz w:val="24"/>
          <w:szCs w:val="24"/>
          <w:lang w:val="en-US"/>
        </w:rPr>
      </w:pPr>
      <w:r>
        <w:rPr>
          <w:rFonts w:ascii="Times New Roman" w:hAnsi="Times New Roman" w:cs="Times New Roman"/>
          <w:noProof/>
          <w:sz w:val="24"/>
          <w:szCs w:val="24"/>
          <w:lang w:eastAsia="it-IT"/>
        </w:rPr>
        <w:drawing>
          <wp:inline distT="0" distB="0" distL="0" distR="0">
            <wp:extent cx="3297027" cy="4667250"/>
            <wp:effectExtent l="19050" t="0" r="0" b="0"/>
            <wp:docPr id="1" name="Immagine 0" descr="V0_M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MBGC.png"/>
                    <pic:cNvPicPr/>
                  </pic:nvPicPr>
                  <pic:blipFill>
                    <a:blip r:embed="rId65"/>
                    <a:stretch>
                      <a:fillRect/>
                    </a:stretch>
                  </pic:blipFill>
                  <pic:spPr>
                    <a:xfrm>
                      <a:off x="0" y="0"/>
                      <a:ext cx="3297027" cy="4667250"/>
                    </a:xfrm>
                    <a:prstGeom prst="rect">
                      <a:avLst/>
                    </a:prstGeom>
                  </pic:spPr>
                </pic:pic>
              </a:graphicData>
            </a:graphic>
          </wp:inline>
        </w:drawing>
      </w:r>
    </w:p>
    <w:p w:rsidR="007E7997" w:rsidRPr="00E40853" w:rsidRDefault="007D5AA6" w:rsidP="00E40853">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631909" w:rsidRPr="00312FFA" w:rsidRDefault="00373823" w:rsidP="00373823">
      <w:pPr>
        <w:pStyle w:val="Titolo1"/>
        <w:rPr>
          <w:lang w:val="en-US"/>
        </w:rPr>
      </w:pPr>
      <w:bookmarkStart w:id="11" w:name="_Toc150285340"/>
      <w:r w:rsidRPr="00312FFA">
        <w:rPr>
          <w:lang w:val="en-US"/>
        </w:rPr>
        <w:lastRenderedPageBreak/>
        <w:t xml:space="preserve">IASR  </w:t>
      </w:r>
      <w:r w:rsidR="00631909" w:rsidRPr="00312FFA">
        <w:rPr>
          <w:lang w:val="en-US"/>
        </w:rPr>
        <w:t>International Application Status Report</w:t>
      </w:r>
      <w:bookmarkEnd w:id="11"/>
      <w:r w:rsidRPr="00312FFA">
        <w:rPr>
          <w:lang w:val="en-US"/>
        </w:rPr>
        <w:t xml:space="preserve"> </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February 2016 (02.02.2016)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Information valid as of: 04 May 2016 (04.05.2016)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Report generated on: 29 September 2023 (29.09.2023)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(10) Publication number: </w:t>
      </w:r>
      <w:r w:rsidRPr="007E7997">
        <w:rPr>
          <w:rFonts w:ascii="Times New Roman" w:hAnsi="Times New Roman" w:cs="Times New Roman"/>
          <w:sz w:val="24"/>
          <w:szCs w:val="24"/>
          <w:lang w:val="en-US"/>
        </w:rPr>
        <w:tab/>
        <w:t xml:space="preserve">(43) Publication date: </w:t>
      </w:r>
      <w:r w:rsidRPr="007E7997">
        <w:rPr>
          <w:rFonts w:ascii="Times New Roman" w:hAnsi="Times New Roman" w:cs="Times New Roman"/>
          <w:sz w:val="24"/>
          <w:szCs w:val="24"/>
          <w:lang w:val="en-US"/>
        </w:rPr>
        <w:tab/>
        <w:t>(26) Publication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WO 2016/092582</w:t>
      </w:r>
      <w:r w:rsidRPr="007E7997">
        <w:rPr>
          <w:rFonts w:ascii="Times New Roman" w:hAnsi="Times New Roman" w:cs="Times New Roman"/>
          <w:sz w:val="24"/>
          <w:szCs w:val="24"/>
          <w:lang w:val="en-US"/>
        </w:rPr>
        <w:tab/>
        <w:t xml:space="preserve">16 June 2016 (16.06.2016) </w:t>
      </w:r>
      <w:r w:rsidRPr="007E7997">
        <w:rPr>
          <w:rFonts w:ascii="Times New Roman" w:hAnsi="Times New Roman" w:cs="Times New Roman"/>
          <w:sz w:val="24"/>
          <w:szCs w:val="24"/>
          <w:lang w:val="en-US"/>
        </w:rPr>
        <w:tab/>
        <w:t>English (EN)</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(21) Application number: </w:t>
      </w:r>
      <w:r w:rsidRPr="007E7997">
        <w:rPr>
          <w:rFonts w:ascii="Times New Roman" w:hAnsi="Times New Roman" w:cs="Times New Roman"/>
          <w:sz w:val="24"/>
          <w:szCs w:val="24"/>
          <w:lang w:val="en-US"/>
        </w:rPr>
        <w:tab/>
        <w:t xml:space="preserve">(22) Filing date: </w:t>
      </w:r>
      <w:r w:rsidRPr="007E7997">
        <w:rPr>
          <w:rFonts w:ascii="Times New Roman" w:hAnsi="Times New Roman" w:cs="Times New Roman"/>
          <w:sz w:val="24"/>
          <w:szCs w:val="24"/>
          <w:lang w:val="en-US"/>
        </w:rPr>
        <w:tab/>
        <w:t>(25) Filing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PCT/IT2015/000306</w:t>
      </w:r>
      <w:r w:rsidRPr="007E7997">
        <w:rPr>
          <w:rFonts w:ascii="Times New Roman" w:hAnsi="Times New Roman" w:cs="Times New Roman"/>
          <w:sz w:val="24"/>
          <w:szCs w:val="24"/>
          <w:lang w:val="en-US"/>
        </w:rPr>
        <w:tab/>
        <w:t xml:space="preserve">14 December 2015 (14.12.2015) </w:t>
      </w:r>
      <w:r w:rsidRPr="007E7997">
        <w:rPr>
          <w:rFonts w:ascii="Times New Roman" w:hAnsi="Times New Roman" w:cs="Times New Roman"/>
          <w:sz w:val="24"/>
          <w:szCs w:val="24"/>
          <w:lang w:val="en-US"/>
        </w:rPr>
        <w:tab/>
        <w:t>Italian (IT)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 xml:space="preserve">(31) Priority number(s): </w:t>
      </w:r>
      <w:r w:rsidRPr="007E7997">
        <w:rPr>
          <w:rFonts w:ascii="Times New Roman" w:hAnsi="Times New Roman" w:cs="Times New Roman"/>
          <w:sz w:val="24"/>
          <w:szCs w:val="24"/>
          <w:lang w:val="en-US"/>
        </w:rPr>
        <w:tab/>
        <w:t xml:space="preserve">(32) Priority date(s): </w:t>
      </w:r>
      <w:r w:rsidRPr="007E7997">
        <w:rPr>
          <w:rFonts w:ascii="Times New Roman" w:hAnsi="Times New Roman" w:cs="Times New Roman"/>
          <w:sz w:val="24"/>
          <w:szCs w:val="24"/>
          <w:lang w:val="en-US"/>
        </w:rPr>
        <w:tab/>
        <w:t>(33) Priority status: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MI2014A002125 (IT)</w:t>
      </w:r>
      <w:r w:rsidRPr="007E7997">
        <w:rPr>
          <w:rFonts w:ascii="Times New Roman" w:hAnsi="Times New Roman" w:cs="Times New Roman"/>
          <w:sz w:val="24"/>
          <w:szCs w:val="24"/>
          <w:lang w:val="en-US"/>
        </w:rPr>
        <w:tab/>
        <w:t xml:space="preserve">12 December 2014 (12.12.2014) </w:t>
      </w:r>
      <w:r w:rsidRPr="007E7997">
        <w:rPr>
          <w:rFonts w:ascii="Times New Roman" w:hAnsi="Times New Roman" w:cs="Times New Roman"/>
          <w:sz w:val="24"/>
          <w:szCs w:val="24"/>
          <w:lang w:val="en-US"/>
        </w:rPr>
        <w:tab/>
        <w:t>Priority document received (in compliance with PCT Rule 17.1)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(51) International Patent Classification:</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C12M 1/107 (2006.01); C12M 1/00 (2006.01); C12M 1/02 (2006.01)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(71) Applicant(s):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LAVANGA, Vito [IT/IT]; Via Terrazzano 85 20017 Rho (MI) (IT) (for all designated states)</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(72) Inventor(s):</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LAVANGA, Vito; Via Terrazzano 85 20017 Rho (MI) (IT)</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FARNE', Stefano; Via Trasimeno 40/14 20128 Milano (MI) (IT)</w:t>
      </w: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(EN): METHOD FOR ANAEROBIC DIGESTION AND DEVICE FOR IMPLEMENTING SAID METHOD</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(FR): PROCÉDÉ DE DIGESTION ANAÉROBIE ET DISPOSITIF POUR LA MISE EN ŒUVRE DUDIT PROCÉDÉ</w:t>
      </w:r>
    </w:p>
    <w:p w:rsidR="007E7997" w:rsidRPr="007E7997" w:rsidRDefault="007E7997" w:rsidP="007E7997">
      <w:pPr>
        <w:jc w:val="both"/>
        <w:rPr>
          <w:rFonts w:ascii="Times New Roman" w:hAnsi="Times New Roman" w:cs="Times New Roman"/>
          <w:sz w:val="24"/>
          <w:szCs w:val="24"/>
          <w:lang w:val="en-US"/>
        </w:rPr>
      </w:pPr>
    </w:p>
    <w:p w:rsid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(57) Abstract: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(EN): This invention relates to a method and to a device for the implementation of said method, to decompose and to selectively extract methane, carbon dioxide, NPK salts (nitrogen, phosphorus and potassium salts) of various titre and clarified water, from an organic matrix; said components will be the raw material for further industrial processes. The method is characterized in that it includes the following phases: • implementation of a hydrolytic phase, constituted by the fission action by means of the water, by hydration; • implementation of a acidogenesis phase generated by means of specific bacteria; • </w:t>
      </w:r>
      <w:r w:rsidRPr="007E7997">
        <w:rPr>
          <w:rFonts w:ascii="Times New Roman" w:hAnsi="Times New Roman" w:cs="Times New Roman"/>
          <w:sz w:val="24"/>
          <w:szCs w:val="24"/>
          <w:lang w:val="en-US"/>
        </w:rPr>
        <w:lastRenderedPageBreak/>
        <w:t xml:space="preserve">implementation of a acetogenesis phase generated by means of specific bacteria; • implementation of a methanogenesis phase by means of specific bacteria, with a simultaneous gravimetric separation of a mainly oleic phase, lighter and of a predominantly protein phase, heavier; • gravimetric separation of solutions of said NPK salts of different titres • taking of clarified water. The device is characterized in that it comprises a basin (1) divided into various zones (V1), (V2), (V3), in each of which biological reactions occur, in accordance with the claimed method, said zones being all communicating and identified by suitable separation baffles, in particular: • a first baffle (2) extended from a first end (1a) of the basin to a second end (1b) of said basin (1), dividing it into two parts; • a second baffle (3), of height equal to said first baffle that divides one of said parts in a first zone (V1) and in a second zone (V2) extending from said first end (1a) of the basin (1) until it reaches the vicinity of said second end of the basin (1), so that said two zones (V1) and (V2) are communicating through an opening, of substantially vertical development, between the end of said second baffle (3) and the second end (1b) of the basin (1); • a plurality of baffles (4) and (5) transversely arranged to said first baffle (2) and inside a third zone (V3), delimited by said first baffle (2), said third zone (V3) being placed in communication with said second zone (V2) through a </w:t>
      </w:r>
      <w:r w:rsidRPr="007E7997">
        <w:rPr>
          <w:rFonts w:ascii="Times New Roman" w:hAnsi="Times New Roman" w:cs="Times New Roman"/>
          <w:sz w:val="24"/>
          <w:szCs w:val="24"/>
          <w:lang w:val="en-US"/>
        </w:rPr>
        <w:lastRenderedPageBreak/>
        <w:t>transfer pipe (6), positioned at about half height of said first baffle (2); • two blocks (B) and (C), placed in the upper part of said basin (1) and provided by taking means (12, 12a, 13, 13a), each of said blocks (B) and (C) including a plurality of vertical pipes and being fitted to carry out a gravimetric separation of the gases that are generated during the treatment of said mixture; said baffles (2) and (3) and said transfer pipe (6), by identifying a path crossed by the liquid mixture to be treated, that runs into the beginning of said first zone (1) where it is placed an inlet pipe (7) of the liquid mixture to be treated and comes out from various points of said third zone (V3).</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(FR): La présente invention concerne un procédé et un dispositif pour la mise en œuvre dudit procédé, pour décomposer et extraire sélectivement du méthane, du dioxyde de carbone, des sels de NPK (sels d'azote, de phosphore et de potassium) de titres divers et de l'eau clarifiée, à partir d'une matrice organique; lesdits composants constituant la matière première pour d'autres procédés industriels. Le procédé est caractérisé en ce qu'il comprend les phases suivantes : mise en œuvre d'une phase hydrolytique, constituée par l'action de fission au moyen de l'eau, par hydratation; mise en œuvre d'une phase d'acidogénèse au moyen de bactéries spécifiques; mise en œuvre d'une phase d'acétogénèse au moyen de </w:t>
      </w:r>
      <w:r w:rsidRPr="007E7997">
        <w:rPr>
          <w:rFonts w:ascii="Times New Roman" w:hAnsi="Times New Roman" w:cs="Times New Roman"/>
          <w:sz w:val="24"/>
          <w:szCs w:val="24"/>
          <w:lang w:val="en-US"/>
        </w:rPr>
        <w:lastRenderedPageBreak/>
        <w:t xml:space="preserve">bactéries spécifiques; mise en œuvre d'une phase de méthanogénèse, au moyen de bactéries spécifiques, avec séparation gravimétrique simultanée d'une phase principalement oléique, plus légère, et d'une phase principalement protéique, plus lourde; séparation gravimétrique de solutions desdits sels de NPK de titres différents; prélèvement de l'eau clarifiée. Le dispositif se caractérise en ce qu'il comprend un bassin (1) divisé en différentes zones (V1) (V2), (V3), dans chacune desquelles ont lieu des réactions biologiques, conformément au procédé de l'invention, lesdites zones étant toutes communicantes et identifiées par des chicanes de séparation appropriées, en particulier : une première chicane (2) s'étendant d'une première extrémité (1a) du bassin jusqu'à une deuxième extrémité (1b) dudit bassin (1), le divisant en deux parties; une deuxième chicane (3), de hauteur égale à celles de ladite première chicane qui divise l'une desdites parties en une première zone (V1) et en une deuxième zone (V2) s'étendant entre ladite première extrémité (1a) du bassin (1) et le voisinage de ladite seconde extrémité du bassin (1), de sorte que lesdites deux zones (V1) et (V2) communiquent par une ouverture, de développement sensiblement vertical, entre l'extrémité de ladite deuxième chicane (3) et la seconde extrémité (1b) du bassin (1); une pluralité de chicanes (4) et (5) placées transversalement par rapport à ladite </w:t>
      </w:r>
      <w:r w:rsidRPr="007E7997">
        <w:rPr>
          <w:rFonts w:ascii="Times New Roman" w:hAnsi="Times New Roman" w:cs="Times New Roman"/>
          <w:sz w:val="24"/>
          <w:szCs w:val="24"/>
          <w:lang w:val="en-US"/>
        </w:rPr>
        <w:lastRenderedPageBreak/>
        <w:t>première chicane (2) et à l'intérieur d'une troisième zone (V3), délimitée par ladite première chicane (2), ladite troisième zone (V3) étant mise en communication avec ladite deuxième zone (V2) par un tuyau de transfert (6), placé à environ la moitié de la hauteur de ladite première chicane (2); deux blocs (B) et (C), placés dans la partie supérieure dudit bassin (1) et munis de moyens de prélèvement (12, 12a, 13, 13a), chacun desdits blocs (B) et (C) comprenant une pluralité de tuyaux verticaux et étant conçu pour effectuer une séparation gravimétrique des gaz qui se dégagent pendant le traitement dudit mélange; lesdites chicanes (2) et (3) et ledit tuyau de transfert (6) délimitant un trajet emprunté par le mélange liquide à traiter, qui s'étend du début de ladite première zone (1) dans laquelle est placé un tuyau d'entrée (7) du mélange liquide à traiter et sort par différents points de ladite troisième zone (V3).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International search report: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May 2016 (02.05.2016) [EP]</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International Report on Patentability (IPRP) Chapter II of the PCT: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Not available</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(81) Designated States: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African Intellectual Property Organization (OAPI) : BF, BJ, CF, CG, CI, CM, GA, GN, GQ, GW, KM, ML, MR, NE, SN, TD, TG</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African Regional Intellectual Property Organization (ARIPO) : BW, GH, GM, KE, LR, LS, MW, MZ, NA, RW, SD, SL, ST, SZ, TZ, UG,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Eurasian Patent Organization (EAPO) : AM, AZ, BY, KG, KZ, RU, TJ, TM</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of inventorship (Rules 4.17(iv) and 51bis.1(a)(iv)) for the purposes of the designation of the United States of America</w:t>
      </w:r>
    </w:p>
    <w:p w:rsidR="007E7997" w:rsidRPr="007E7997" w:rsidRDefault="007E7997" w:rsidP="007E7997">
      <w:pPr>
        <w:jc w:val="both"/>
        <w:rPr>
          <w:rFonts w:ascii="Times New Roman" w:hAnsi="Times New Roman" w:cs="Times New Roman"/>
          <w:sz w:val="24"/>
          <w:szCs w:val="24"/>
          <w:lang w:val="en-US"/>
        </w:rPr>
      </w:pPr>
    </w:p>
    <w:p w:rsidR="00EA4604" w:rsidRPr="00E40853" w:rsidRDefault="00EA4604" w:rsidP="007E7997">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EA4604" w:rsidRPr="00E40853" w:rsidRDefault="00EA4604"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6"/>
                    <a:stretch>
                      <a:fillRect/>
                    </a:stretch>
                  </pic:blipFill>
                  <pic:spPr>
                    <a:xfrm rot="16200000">
                      <a:off x="0" y="0"/>
                      <a:ext cx="4818316" cy="3122684"/>
                    </a:xfrm>
                    <a:prstGeom prst="rect">
                      <a:avLst/>
                    </a:prstGeom>
                  </pic:spPr>
                </pic:pic>
              </a:graphicData>
            </a:graphic>
          </wp:inline>
        </w:drawing>
      </w:r>
    </w:p>
    <w:sectPr w:rsidR="00EA4604" w:rsidRPr="00E40853" w:rsidSect="00D86830">
      <w:footerReference w:type="default" r:id="rId67"/>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EC4" w:rsidRDefault="00637EC4" w:rsidP="00F0731B">
      <w:pPr>
        <w:spacing w:after="0" w:line="240" w:lineRule="auto"/>
      </w:pPr>
      <w:r>
        <w:separator/>
      </w:r>
    </w:p>
  </w:endnote>
  <w:endnote w:type="continuationSeparator" w:id="1">
    <w:p w:rsidR="00637EC4" w:rsidRDefault="00637EC4"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635369" w:rsidRDefault="00F40329">
        <w:pPr>
          <w:pStyle w:val="Pidipagina"/>
          <w:jc w:val="center"/>
        </w:pPr>
        <w:fldSimple w:instr=" PAGE   \* MERGEFORMAT ">
          <w:r w:rsidR="00A5560C">
            <w:rPr>
              <w:noProof/>
            </w:rPr>
            <w:t>74</w:t>
          </w:r>
        </w:fldSimple>
      </w:p>
    </w:sdtContent>
  </w:sdt>
  <w:p w:rsidR="00635369" w:rsidRDefault="0063536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EC4" w:rsidRDefault="00637EC4" w:rsidP="00F0731B">
      <w:pPr>
        <w:spacing w:after="0" w:line="240" w:lineRule="auto"/>
      </w:pPr>
      <w:r>
        <w:separator/>
      </w:r>
    </w:p>
  </w:footnote>
  <w:footnote w:type="continuationSeparator" w:id="1">
    <w:p w:rsidR="00637EC4" w:rsidRDefault="00637EC4"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307"/>
    <w:multiLevelType w:val="hybridMultilevel"/>
    <w:tmpl w:val="1558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9157F"/>
    <w:multiLevelType w:val="hybridMultilevel"/>
    <w:tmpl w:val="CC08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E0989"/>
    <w:multiLevelType w:val="hybridMultilevel"/>
    <w:tmpl w:val="15B6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C0171"/>
    <w:multiLevelType w:val="hybridMultilevel"/>
    <w:tmpl w:val="E974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30828"/>
    <w:multiLevelType w:val="hybridMultilevel"/>
    <w:tmpl w:val="480C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866F1"/>
    <w:multiLevelType w:val="hybridMultilevel"/>
    <w:tmpl w:val="CD6A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E6B9A"/>
    <w:multiLevelType w:val="hybridMultilevel"/>
    <w:tmpl w:val="7E42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527955"/>
    <w:multiLevelType w:val="hybridMultilevel"/>
    <w:tmpl w:val="E598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6A28E9"/>
    <w:multiLevelType w:val="hybridMultilevel"/>
    <w:tmpl w:val="6838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103AC"/>
    <w:multiLevelType w:val="hybridMultilevel"/>
    <w:tmpl w:val="1704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97AA7"/>
    <w:multiLevelType w:val="hybridMultilevel"/>
    <w:tmpl w:val="65D6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050AB8"/>
    <w:multiLevelType w:val="hybridMultilevel"/>
    <w:tmpl w:val="F144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3A0F0C"/>
    <w:multiLevelType w:val="hybridMultilevel"/>
    <w:tmpl w:val="E3DC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2C36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467E80"/>
    <w:multiLevelType w:val="hybridMultilevel"/>
    <w:tmpl w:val="6DD2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7654A"/>
    <w:multiLevelType w:val="hybridMultilevel"/>
    <w:tmpl w:val="1366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1A479B"/>
    <w:multiLevelType w:val="hybridMultilevel"/>
    <w:tmpl w:val="8C4A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FB78A8"/>
    <w:multiLevelType w:val="hybridMultilevel"/>
    <w:tmpl w:val="1512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D63D5"/>
    <w:multiLevelType w:val="hybridMultilevel"/>
    <w:tmpl w:val="77CE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15196F"/>
    <w:multiLevelType w:val="hybridMultilevel"/>
    <w:tmpl w:val="D44A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496409"/>
    <w:multiLevelType w:val="hybridMultilevel"/>
    <w:tmpl w:val="DE8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7026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43A74E2"/>
    <w:multiLevelType w:val="hybridMultilevel"/>
    <w:tmpl w:val="8DE6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D5D9D"/>
    <w:multiLevelType w:val="hybridMultilevel"/>
    <w:tmpl w:val="16E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E2422D"/>
    <w:multiLevelType w:val="hybridMultilevel"/>
    <w:tmpl w:val="EB64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E519C1"/>
    <w:multiLevelType w:val="hybridMultilevel"/>
    <w:tmpl w:val="4A44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F21252"/>
    <w:multiLevelType w:val="hybridMultilevel"/>
    <w:tmpl w:val="2D48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124A09"/>
    <w:multiLevelType w:val="hybridMultilevel"/>
    <w:tmpl w:val="FEF2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6A0F02"/>
    <w:multiLevelType w:val="hybridMultilevel"/>
    <w:tmpl w:val="D6EE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BC7E4F"/>
    <w:multiLevelType w:val="hybridMultilevel"/>
    <w:tmpl w:val="C256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9"/>
  </w:num>
  <w:num w:numId="4">
    <w:abstractNumId w:val="2"/>
  </w:num>
  <w:num w:numId="5">
    <w:abstractNumId w:val="12"/>
  </w:num>
  <w:num w:numId="6">
    <w:abstractNumId w:val="5"/>
  </w:num>
  <w:num w:numId="7">
    <w:abstractNumId w:val="24"/>
  </w:num>
  <w:num w:numId="8">
    <w:abstractNumId w:val="25"/>
  </w:num>
  <w:num w:numId="9">
    <w:abstractNumId w:val="7"/>
  </w:num>
  <w:num w:numId="10">
    <w:abstractNumId w:val="4"/>
  </w:num>
  <w:num w:numId="11">
    <w:abstractNumId w:val="20"/>
  </w:num>
  <w:num w:numId="12">
    <w:abstractNumId w:val="9"/>
  </w:num>
  <w:num w:numId="13">
    <w:abstractNumId w:val="1"/>
  </w:num>
  <w:num w:numId="14">
    <w:abstractNumId w:val="11"/>
  </w:num>
  <w:num w:numId="15">
    <w:abstractNumId w:val="18"/>
  </w:num>
  <w:num w:numId="16">
    <w:abstractNumId w:val="29"/>
  </w:num>
  <w:num w:numId="17">
    <w:abstractNumId w:val="6"/>
  </w:num>
  <w:num w:numId="18">
    <w:abstractNumId w:val="14"/>
  </w:num>
  <w:num w:numId="19">
    <w:abstractNumId w:val="22"/>
  </w:num>
  <w:num w:numId="20">
    <w:abstractNumId w:val="15"/>
  </w:num>
  <w:num w:numId="21">
    <w:abstractNumId w:val="17"/>
  </w:num>
  <w:num w:numId="22">
    <w:abstractNumId w:val="8"/>
  </w:num>
  <w:num w:numId="23">
    <w:abstractNumId w:val="0"/>
  </w:num>
  <w:num w:numId="24">
    <w:abstractNumId w:val="23"/>
  </w:num>
  <w:num w:numId="25">
    <w:abstractNumId w:val="28"/>
  </w:num>
  <w:num w:numId="26">
    <w:abstractNumId w:val="3"/>
  </w:num>
  <w:num w:numId="27">
    <w:abstractNumId w:val="26"/>
  </w:num>
  <w:num w:numId="28">
    <w:abstractNumId w:val="27"/>
  </w:num>
  <w:num w:numId="29">
    <w:abstractNumId w:val="10"/>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74C21"/>
    <w:rsid w:val="00101ECF"/>
    <w:rsid w:val="00105D40"/>
    <w:rsid w:val="00150853"/>
    <w:rsid w:val="00173CE6"/>
    <w:rsid w:val="0017546D"/>
    <w:rsid w:val="001806AD"/>
    <w:rsid w:val="001806F5"/>
    <w:rsid w:val="0019259E"/>
    <w:rsid w:val="001C4E40"/>
    <w:rsid w:val="00241EF4"/>
    <w:rsid w:val="00253B79"/>
    <w:rsid w:val="00260E27"/>
    <w:rsid w:val="00264695"/>
    <w:rsid w:val="002A799F"/>
    <w:rsid w:val="002B4C63"/>
    <w:rsid w:val="002C26BF"/>
    <w:rsid w:val="00312FFA"/>
    <w:rsid w:val="00330901"/>
    <w:rsid w:val="00373823"/>
    <w:rsid w:val="00395A27"/>
    <w:rsid w:val="003B0B7A"/>
    <w:rsid w:val="003C7DE5"/>
    <w:rsid w:val="00496742"/>
    <w:rsid w:val="004A5A8F"/>
    <w:rsid w:val="004B28F4"/>
    <w:rsid w:val="004D4C3E"/>
    <w:rsid w:val="004D7F8B"/>
    <w:rsid w:val="00503AF0"/>
    <w:rsid w:val="005544BF"/>
    <w:rsid w:val="00571895"/>
    <w:rsid w:val="00581ED7"/>
    <w:rsid w:val="005D5621"/>
    <w:rsid w:val="005D58FA"/>
    <w:rsid w:val="005E3357"/>
    <w:rsid w:val="005F747E"/>
    <w:rsid w:val="00631909"/>
    <w:rsid w:val="00635369"/>
    <w:rsid w:val="00637EC4"/>
    <w:rsid w:val="00662A52"/>
    <w:rsid w:val="00670B98"/>
    <w:rsid w:val="006A1B95"/>
    <w:rsid w:val="006C7529"/>
    <w:rsid w:val="006E6FA1"/>
    <w:rsid w:val="007342E3"/>
    <w:rsid w:val="00744435"/>
    <w:rsid w:val="007A44AD"/>
    <w:rsid w:val="007D5AA6"/>
    <w:rsid w:val="007E7997"/>
    <w:rsid w:val="007F29A6"/>
    <w:rsid w:val="007F5AC5"/>
    <w:rsid w:val="00832F6A"/>
    <w:rsid w:val="00841826"/>
    <w:rsid w:val="00867E83"/>
    <w:rsid w:val="00894450"/>
    <w:rsid w:val="00897C4E"/>
    <w:rsid w:val="008B3E70"/>
    <w:rsid w:val="008E4FE1"/>
    <w:rsid w:val="00977E67"/>
    <w:rsid w:val="00981F5A"/>
    <w:rsid w:val="009974B9"/>
    <w:rsid w:val="009C2E00"/>
    <w:rsid w:val="009C64D6"/>
    <w:rsid w:val="00A5560C"/>
    <w:rsid w:val="00A81986"/>
    <w:rsid w:val="00A91EB0"/>
    <w:rsid w:val="00AA304A"/>
    <w:rsid w:val="00AC609C"/>
    <w:rsid w:val="00B43718"/>
    <w:rsid w:val="00B828AC"/>
    <w:rsid w:val="00BA7002"/>
    <w:rsid w:val="00C165F1"/>
    <w:rsid w:val="00C57364"/>
    <w:rsid w:val="00C62493"/>
    <w:rsid w:val="00C74734"/>
    <w:rsid w:val="00D62E9F"/>
    <w:rsid w:val="00D86830"/>
    <w:rsid w:val="00DB04CD"/>
    <w:rsid w:val="00E002E0"/>
    <w:rsid w:val="00E40853"/>
    <w:rsid w:val="00E536DE"/>
    <w:rsid w:val="00E61296"/>
    <w:rsid w:val="00E83653"/>
    <w:rsid w:val="00E94710"/>
    <w:rsid w:val="00EA00EF"/>
    <w:rsid w:val="00EA4604"/>
    <w:rsid w:val="00EB0EE2"/>
    <w:rsid w:val="00EE5380"/>
    <w:rsid w:val="00F0731B"/>
    <w:rsid w:val="00F40329"/>
    <w:rsid w:val="00F65D80"/>
    <w:rsid w:val="00F91FCD"/>
    <w:rsid w:val="00FC06D5"/>
    <w:rsid w:val="00FE4A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496742"/>
    <w:pPr>
      <w:tabs>
        <w:tab w:val="right" w:leader="dot" w:pos="5659"/>
      </w:tabs>
      <w:spacing w:after="100"/>
    </w:pPr>
    <w:rPr>
      <w:b/>
      <w:noProof/>
      <w:lang w:val="en-US"/>
    </w:rPr>
  </w:style>
  <w:style w:type="paragraph" w:styleId="Paragrafoelenco">
    <w:name w:val="List Paragraph"/>
    <w:basedOn w:val="Normale"/>
    <w:uiPriority w:val="34"/>
    <w:qFormat/>
    <w:rsid w:val="00581ED7"/>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24985546">
      <w:bodyDiv w:val="1"/>
      <w:marLeft w:val="0"/>
      <w:marRight w:val="0"/>
      <w:marTop w:val="0"/>
      <w:marBottom w:val="0"/>
      <w:divBdr>
        <w:top w:val="none" w:sz="0" w:space="0" w:color="auto"/>
        <w:left w:val="none" w:sz="0" w:space="0" w:color="auto"/>
        <w:bottom w:val="none" w:sz="0" w:space="0" w:color="auto"/>
        <w:right w:val="none" w:sz="0" w:space="0" w:color="auto"/>
      </w:divBdr>
    </w:div>
    <w:div w:id="1931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organic+waste+to+biogas%2c+for+urban+and+periurban%29&amp;FORM=HDRSC2" TargetMode="External"/><Relationship Id="rId39" Type="http://schemas.openxmlformats.org/officeDocument/2006/relationships/hyperlink" Target="https://sdgs.un.org/goals" TargetMode="External"/><Relationship Id="rId21" Type="http://schemas.openxmlformats.org/officeDocument/2006/relationships/hyperlink" Target="http://www.expotv1.com/JWT_to_SDG_UN.pdf" TargetMode="External"/><Relationship Id="rId34" Type="http://schemas.openxmlformats.org/officeDocument/2006/relationships/hyperlink" Target="http://www.expotv1.com/LIC/UIBM_MBGC.pdf"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2" TargetMode="External"/><Relationship Id="rId50" Type="http://schemas.openxmlformats.org/officeDocument/2006/relationships/hyperlink" Target="https://sdgs.un.org/goals/goal5" TargetMode="External"/><Relationship Id="rId55" Type="http://schemas.openxmlformats.org/officeDocument/2006/relationships/hyperlink" Target="https://sdgs.un.org/goals/goal10" TargetMode="External"/><Relationship Id="rId63" Type="http://schemas.openxmlformats.org/officeDocument/2006/relationships/hyperlink" Target="http://www.expotv1.com/JWT_to_SDG_UN.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www.expotv1.com/LIC/MISE_0001427413_MBG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MBGC.pdf" TargetMode="External"/><Relationship Id="rId32" Type="http://schemas.openxmlformats.org/officeDocument/2006/relationships/hyperlink" Target="http://www.expotv1.com/ESCP_Patent.htm" TargetMode="External"/><Relationship Id="rId37" Type="http://schemas.openxmlformats.org/officeDocument/2006/relationships/hyperlink" Target="https://sdgs.un.org/goals" TargetMode="External"/><Relationship Id="rId40" Type="http://schemas.openxmlformats.org/officeDocument/2006/relationships/hyperlink" Target="https://sdgs.un.org/goals" TargetMode="External"/><Relationship Id="rId45" Type="http://schemas.openxmlformats.org/officeDocument/2006/relationships/hyperlink" Target="https://sdgs-un-org.translate.goog/goals?_x_tr_sl=en&amp;_x_tr_tl=it&amp;_x_tr_hl=it&amp;_x_tr_pto=wapp" TargetMode="External"/><Relationship Id="rId53" Type="http://schemas.openxmlformats.org/officeDocument/2006/relationships/hyperlink" Target="https://sdgs.un.org/goals/goal8" TargetMode="External"/><Relationship Id="rId58" Type="http://schemas.openxmlformats.org/officeDocument/2006/relationships/hyperlink" Target="https://sdgs.un.org/goals/goal13" TargetMode="Externa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ESCP_Hello.htm"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4" TargetMode="External"/><Relationship Id="rId57" Type="http://schemas.openxmlformats.org/officeDocument/2006/relationships/hyperlink" Target="https://sdgs.un.org/goals/goal12" TargetMode="External"/><Relationship Id="rId61" Type="http://schemas.openxmlformats.org/officeDocument/2006/relationships/hyperlink" Target="https://sdgs.un.org/goals/goal16"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s://patentscope.wipo.int/search/en/detail.jsf?docId=WO2016092582"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7" TargetMode="External"/><Relationship Id="rId60" Type="http://schemas.openxmlformats.org/officeDocument/2006/relationships/hyperlink" Target="https://sdgs.un.org/goals/goal15" TargetMode="External"/><Relationship Id="rId6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ESCP_MBGC_Plan.htm" TargetMode="External"/><Relationship Id="rId30" Type="http://schemas.openxmlformats.org/officeDocument/2006/relationships/hyperlink" Target="http://www.expotv1.com/LIC/UIBM_MBGC.pdf" TargetMode="External"/><Relationship Id="rId35" Type="http://schemas.openxmlformats.org/officeDocument/2006/relationships/hyperlink" Target="https://patentscope.wipo.int/search/en/detail.jsf?docId=WO2016092582"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3" TargetMode="External"/><Relationship Id="rId56" Type="http://schemas.openxmlformats.org/officeDocument/2006/relationships/hyperlink" Target="https://sdgs.un.org/goals/goal11" TargetMode="External"/><Relationship Id="rId64" Type="http://schemas.openxmlformats.org/officeDocument/2006/relationships/hyperlink" Target="http://www.expotv1.com/ESCP_Hello.htm" TargetMode="External"/><Relationship Id="rId69" Type="http://schemas.openxmlformats.org/officeDocument/2006/relationships/theme" Target="theme/theme1.xml"/><Relationship Id="rId8" Type="http://schemas.openxmlformats.org/officeDocument/2006/relationships/hyperlink" Target="http://www.expotv1.com/JWT_project.pdf" TargetMode="External"/><Relationship Id="rId51" Type="http://schemas.openxmlformats.org/officeDocument/2006/relationships/hyperlink" Target="https://sdgs.un.org/goals/goal6"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2" TargetMode="External"/><Relationship Id="rId33" Type="http://schemas.openxmlformats.org/officeDocument/2006/relationships/hyperlink" Target="http://www.expotv1.com/PUB/JWT_Service_EN.pdf"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1" TargetMode="External"/><Relationship Id="rId59" Type="http://schemas.openxmlformats.org/officeDocument/2006/relationships/hyperlink" Target="https://sdgs.un.org/goals/goal14" TargetMode="External"/><Relationship Id="rId67" Type="http://schemas.openxmlformats.org/officeDocument/2006/relationships/footer" Target="footer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9" TargetMode="External"/><Relationship Id="rId62" Type="http://schemas.openxmlformats.org/officeDocument/2006/relationships/hyperlink" Target="https://sdgs.un.org/goals/goal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90</Pages>
  <Words>13785</Words>
  <Characters>78576</Characters>
  <Application>Microsoft Office Word</Application>
  <DocSecurity>0</DocSecurity>
  <Lines>654</Lines>
  <Paragraphs>184</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92177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2023-11-07T20:40:00Z</dcterms:modified>
</cp:coreProperties>
</file>